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AC" w:rsidRPr="00361E6E" w:rsidRDefault="00B421B3" w:rsidP="00713A46">
      <w:pPr>
        <w:widowControl w:val="0"/>
        <w:tabs>
          <w:tab w:val="left" w:pos="1440"/>
          <w:tab w:val="left" w:pos="4320"/>
        </w:tabs>
        <w:autoSpaceDE w:val="0"/>
        <w:autoSpaceDN w:val="0"/>
        <w:adjustRightInd w:val="0"/>
        <w:ind w:firstLine="284"/>
        <w:jc w:val="center"/>
        <w:rPr>
          <w:b/>
          <w:bCs/>
          <w:sz w:val="28"/>
          <w:szCs w:val="28"/>
          <w:lang w:val="en-GB"/>
        </w:rPr>
      </w:pPr>
      <w:bookmarkStart w:id="0" w:name="_GoBack"/>
      <w:bookmarkEnd w:id="0"/>
      <w:r w:rsidRPr="00361E6E">
        <w:rPr>
          <w:b/>
          <w:bCs/>
          <w:sz w:val="28"/>
          <w:szCs w:val="28"/>
          <w:lang w:val="en-GB"/>
        </w:rPr>
        <w:t>Optimization of the heat treatment of phosphate</w:t>
      </w:r>
    </w:p>
    <w:p w:rsidR="00496BAC" w:rsidRPr="00361E6E" w:rsidRDefault="00496BAC" w:rsidP="00F74951">
      <w:pPr>
        <w:widowControl w:val="0"/>
        <w:tabs>
          <w:tab w:val="left" w:pos="4320"/>
        </w:tabs>
        <w:autoSpaceDE w:val="0"/>
        <w:autoSpaceDN w:val="0"/>
        <w:adjustRightInd w:val="0"/>
        <w:ind w:firstLine="284"/>
        <w:jc w:val="center"/>
        <w:rPr>
          <w:b/>
          <w:bCs/>
          <w:u w:val="single"/>
          <w:lang w:val="en-GB"/>
        </w:rPr>
      </w:pPr>
    </w:p>
    <w:p w:rsidR="00496BAC" w:rsidRPr="00B421B3" w:rsidRDefault="00B421B3" w:rsidP="00713A46">
      <w:pPr>
        <w:tabs>
          <w:tab w:val="left" w:pos="4320"/>
        </w:tabs>
        <w:jc w:val="center"/>
        <w:rPr>
          <w:sz w:val="20"/>
          <w:szCs w:val="20"/>
          <w:vertAlign w:val="superscript"/>
          <w:rtl/>
        </w:rPr>
      </w:pPr>
      <w:r w:rsidRPr="00B421B3">
        <w:rPr>
          <w:b/>
          <w:bCs/>
          <w:sz w:val="20"/>
          <w:szCs w:val="20"/>
          <w:lang w:val="en-GB"/>
        </w:rPr>
        <w:t>El Mokhtar</w:t>
      </w:r>
      <w:r w:rsidR="00496BAC" w:rsidRPr="00B421B3">
        <w:rPr>
          <w:b/>
          <w:bCs/>
          <w:sz w:val="20"/>
          <w:szCs w:val="20"/>
          <w:lang w:val="en-GB"/>
        </w:rPr>
        <w:t xml:space="preserve"> El </w:t>
      </w:r>
      <w:r w:rsidR="00FB676D" w:rsidRPr="00B421B3">
        <w:rPr>
          <w:b/>
          <w:bCs/>
          <w:sz w:val="20"/>
          <w:szCs w:val="20"/>
          <w:lang w:val="en-GB"/>
        </w:rPr>
        <w:t>Ouardi</w:t>
      </w:r>
    </w:p>
    <w:p w:rsidR="00496BAC" w:rsidRPr="00B421B3" w:rsidRDefault="00496BAC" w:rsidP="00F74951">
      <w:pPr>
        <w:widowControl w:val="0"/>
        <w:tabs>
          <w:tab w:val="left" w:pos="142"/>
          <w:tab w:val="left" w:pos="426"/>
          <w:tab w:val="left" w:pos="4320"/>
          <w:tab w:val="center" w:pos="4536"/>
          <w:tab w:val="right" w:pos="9214"/>
          <w:tab w:val="right" w:pos="9356"/>
        </w:tabs>
        <w:autoSpaceDE w:val="0"/>
        <w:autoSpaceDN w:val="0"/>
        <w:adjustRightInd w:val="0"/>
        <w:ind w:firstLine="284"/>
        <w:jc w:val="center"/>
        <w:rPr>
          <w:sz w:val="20"/>
          <w:szCs w:val="20"/>
          <w:lang w:val="en-GB"/>
        </w:rPr>
      </w:pPr>
    </w:p>
    <w:p w:rsidR="00B30A8B" w:rsidRPr="00361E6E" w:rsidRDefault="00B30A8B" w:rsidP="00B30A8B">
      <w:pPr>
        <w:tabs>
          <w:tab w:val="left" w:pos="4320"/>
        </w:tabs>
        <w:spacing w:before="240" w:after="240"/>
        <w:jc w:val="both"/>
        <w:rPr>
          <w:bCs/>
          <w:lang w:val="en-GB"/>
        </w:rPr>
      </w:pPr>
      <w:r w:rsidRPr="00A77EB8">
        <w:rPr>
          <w:b/>
          <w:bCs/>
          <w:lang w:val="en-US"/>
        </w:rPr>
        <w:t>Abstract -</w:t>
      </w:r>
      <w:r w:rsidRPr="00A77EB8">
        <w:rPr>
          <w:bCs/>
          <w:lang w:val="en-GB"/>
        </w:rPr>
        <w:t>In</w:t>
      </w:r>
      <w:r w:rsidRPr="00361E6E">
        <w:rPr>
          <w:bCs/>
          <w:lang w:val="en-GB"/>
        </w:rPr>
        <w:t xml:space="preserve"> this article, we studied the cold and hot mixtures sedimentary phosphates of </w:t>
      </w:r>
      <w:r>
        <w:rPr>
          <w:bCs/>
          <w:lang w:val="en-GB"/>
        </w:rPr>
        <w:t>Bouchane</w:t>
      </w:r>
      <w:r w:rsidRPr="00361E6E">
        <w:rPr>
          <w:bCs/>
          <w:lang w:val="en-GB"/>
        </w:rPr>
        <w:t xml:space="preserve"> i</w:t>
      </w:r>
      <w:r w:rsidRPr="00361E6E">
        <w:rPr>
          <w:lang w:val="en-GB"/>
        </w:rPr>
        <w:t xml:space="preserve">n order to optimize </w:t>
      </w:r>
      <w:r w:rsidRPr="00361E6E">
        <w:rPr>
          <w:bCs/>
          <w:lang w:val="en-GB"/>
        </w:rPr>
        <w:t>the expenditure related to energy</w:t>
      </w:r>
      <w:r w:rsidRPr="00361E6E">
        <w:rPr>
          <w:lang w:val="en-GB"/>
        </w:rPr>
        <w:t xml:space="preserve"> by reducing the organic matter and carbonates</w:t>
      </w:r>
      <w:r w:rsidRPr="00361E6E">
        <w:rPr>
          <w:bCs/>
          <w:lang w:val="en-GB"/>
        </w:rPr>
        <w:t xml:space="preserve">. The cold mixture is done at the ambient temperature as the hot mixture is made at the calcination temperature. The experimental process of the mixtures </w:t>
      </w:r>
      <w:r>
        <w:rPr>
          <w:bCs/>
          <w:lang w:val="en-GB"/>
        </w:rPr>
        <w:t>is</w:t>
      </w:r>
      <w:r w:rsidRPr="00361E6E">
        <w:rPr>
          <w:bCs/>
          <w:lang w:val="en-GB"/>
        </w:rPr>
        <w:t xml:space="preserve"> performed under the atmospheric air by the same phosphate source by mixing same manner in order to make a comparison between them. It appeared that the hot mixture using 33% of the same phosphate source can have an important outcome on the energy saving while preserving the environment</w:t>
      </w:r>
      <w:r w:rsidRPr="00361E6E">
        <w:rPr>
          <w:lang w:val="en-GB"/>
        </w:rPr>
        <w:t xml:space="preserve"> and responding to indicators of quality demanded by users</w:t>
      </w:r>
      <w:r w:rsidRPr="00361E6E">
        <w:rPr>
          <w:bCs/>
          <w:lang w:val="en-GB"/>
        </w:rPr>
        <w:t>.</w:t>
      </w:r>
    </w:p>
    <w:p w:rsidR="00B30A8B" w:rsidRPr="00361E6E" w:rsidRDefault="00B30A8B" w:rsidP="00B30A8B">
      <w:pPr>
        <w:tabs>
          <w:tab w:val="left" w:pos="4320"/>
          <w:tab w:val="left" w:pos="8100"/>
        </w:tabs>
        <w:autoSpaceDE w:val="0"/>
        <w:autoSpaceDN w:val="0"/>
        <w:adjustRightInd w:val="0"/>
        <w:spacing w:before="240" w:after="240"/>
        <w:rPr>
          <w:lang w:val="en-GB"/>
        </w:rPr>
      </w:pPr>
      <w:r w:rsidRPr="00361E6E">
        <w:rPr>
          <w:b/>
          <w:lang w:val="en-GB"/>
        </w:rPr>
        <w:t>Key words:</w:t>
      </w:r>
      <w:r w:rsidRPr="00361E6E">
        <w:rPr>
          <w:lang w:val="en-GB"/>
        </w:rPr>
        <w:t xml:space="preserve"> Phosphate</w:t>
      </w:r>
      <w:r>
        <w:rPr>
          <w:b/>
          <w:bCs/>
          <w:lang w:val="en-GB"/>
        </w:rPr>
        <w:t xml:space="preserve"> /</w:t>
      </w:r>
      <w:r w:rsidRPr="00361E6E">
        <w:rPr>
          <w:b/>
          <w:bCs/>
          <w:lang w:val="en-GB"/>
        </w:rPr>
        <w:t xml:space="preserve"> </w:t>
      </w:r>
      <w:r w:rsidRPr="00361E6E">
        <w:rPr>
          <w:lang w:val="en-GB"/>
        </w:rPr>
        <w:t>Energy</w:t>
      </w:r>
      <w:r>
        <w:rPr>
          <w:b/>
          <w:bCs/>
          <w:lang w:val="en-GB"/>
        </w:rPr>
        <w:t>/</w:t>
      </w:r>
      <w:r w:rsidRPr="00361E6E">
        <w:rPr>
          <w:b/>
          <w:bCs/>
          <w:lang w:val="en-GB"/>
        </w:rPr>
        <w:t xml:space="preserve"> </w:t>
      </w:r>
      <w:r>
        <w:rPr>
          <w:lang w:val="en-GB"/>
        </w:rPr>
        <w:t>Mixture/</w:t>
      </w:r>
      <w:r w:rsidRPr="00361E6E">
        <w:rPr>
          <w:lang w:val="en-GB"/>
        </w:rPr>
        <w:t xml:space="preserve"> Cooling.</w:t>
      </w:r>
    </w:p>
    <w:p w:rsidR="00D57C3A" w:rsidRPr="00361E6E" w:rsidRDefault="00B30A8B" w:rsidP="000A74DD">
      <w:pPr>
        <w:tabs>
          <w:tab w:val="left" w:pos="1440"/>
        </w:tabs>
        <w:autoSpaceDE w:val="0"/>
        <w:autoSpaceDN w:val="0"/>
        <w:adjustRightInd w:val="0"/>
        <w:jc w:val="both"/>
      </w:pPr>
      <w:r w:rsidRPr="008A2045">
        <w:rPr>
          <w:b/>
          <w:bCs/>
        </w:rPr>
        <w:t>Résume</w:t>
      </w:r>
      <w:r>
        <w:rPr>
          <w:b/>
          <w:bCs/>
        </w:rPr>
        <w:t xml:space="preserve"> - </w:t>
      </w:r>
      <w:r w:rsidR="000A74DD" w:rsidRPr="000114F9">
        <w:rPr>
          <w:b/>
          <w:bCs/>
          <w:sz w:val="28"/>
          <w:szCs w:val="28"/>
        </w:rPr>
        <w:t>Optimisation du traitement thermique du phosphate</w:t>
      </w:r>
      <w:r w:rsidR="000A74DD">
        <w:rPr>
          <w:b/>
          <w:bCs/>
          <w:sz w:val="28"/>
          <w:szCs w:val="28"/>
        </w:rPr>
        <w:t xml:space="preserve">. </w:t>
      </w:r>
      <w:r w:rsidR="00D57C3A" w:rsidRPr="00361E6E">
        <w:t>Dans cet article, nous avons étudié les mélanges à froid et à chaud du phosphate sédimentaire de B</w:t>
      </w:r>
      <w:r w:rsidR="00D57C3A">
        <w:t>ouchane</w:t>
      </w:r>
      <w:r w:rsidR="00D57C3A" w:rsidRPr="00361E6E">
        <w:t xml:space="preserve"> dans le but d’optimiser les dépenses liées à l’énergie en diminuant la matière organique et les carbonates. Le mélange à froid se fait à  température ambiante quant au mélange à chaud il se fait à partir de la température de calcination. Les processus expérimentaux des mélanges sont effectués sous l’air atmosphérique par le phosphate de même source en malaxant de la même manière afin de faire une comparaison entre eux. Il apparaît que le mélange à chaud par ajout de 33% de phosphate de même source peut avoir d’importantes retombées sur l’économie de l’énergie tout en préservant l’environnement et répondant aux indices de qualité exigés par les utilisateurs.</w:t>
      </w:r>
    </w:p>
    <w:p w:rsidR="00D57C3A" w:rsidRPr="00361E6E" w:rsidRDefault="00B30A8B" w:rsidP="00B30A8B">
      <w:pPr>
        <w:tabs>
          <w:tab w:val="left" w:pos="4320"/>
          <w:tab w:val="left" w:pos="8100"/>
        </w:tabs>
        <w:autoSpaceDE w:val="0"/>
        <w:autoSpaceDN w:val="0"/>
        <w:adjustRightInd w:val="0"/>
        <w:spacing w:before="240" w:after="240"/>
        <w:rPr>
          <w:lang w:val="en-GB"/>
        </w:rPr>
      </w:pPr>
      <w:r w:rsidRPr="00B30A8B">
        <w:rPr>
          <w:b/>
          <w:bCs/>
          <w:lang w:val="en-US"/>
        </w:rPr>
        <w:t xml:space="preserve">Mots Clés: </w:t>
      </w:r>
      <w:r w:rsidRPr="00B30A8B">
        <w:rPr>
          <w:lang w:val="en-US"/>
        </w:rPr>
        <w:t>Phosphate</w:t>
      </w:r>
      <w:r>
        <w:rPr>
          <w:lang w:val="en-US"/>
        </w:rPr>
        <w:t xml:space="preserve"> / </w:t>
      </w:r>
      <w:r w:rsidRPr="00B30A8B">
        <w:t>Energie</w:t>
      </w:r>
      <w:r>
        <w:rPr>
          <w:lang w:val="en-US"/>
        </w:rPr>
        <w:t xml:space="preserve"> / Mélange / </w:t>
      </w:r>
      <w:r w:rsidRPr="00610E53">
        <w:t>Refroidissement</w:t>
      </w:r>
    </w:p>
    <w:p w:rsidR="00611F9C" w:rsidRDefault="00611F9C"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816C7A">
      <w:pPr>
        <w:pStyle w:val="Retraitcorpsdetexte"/>
        <w:tabs>
          <w:tab w:val="left" w:pos="4320"/>
        </w:tabs>
        <w:spacing w:after="0"/>
        <w:ind w:left="0" w:firstLine="284"/>
        <w:jc w:val="both"/>
        <w:rPr>
          <w:rStyle w:val="longtext1"/>
          <w:sz w:val="24"/>
          <w:szCs w:val="24"/>
          <w:shd w:val="clear" w:color="auto" w:fill="FFFFFF"/>
          <w:lang w:val="en-US"/>
        </w:rPr>
      </w:pPr>
    </w:p>
    <w:p w:rsidR="00B30A8B" w:rsidRDefault="00B30A8B" w:rsidP="00816C7A">
      <w:pPr>
        <w:pStyle w:val="Retraitcorpsdetexte"/>
        <w:tabs>
          <w:tab w:val="left" w:pos="4320"/>
        </w:tabs>
        <w:spacing w:after="0"/>
        <w:ind w:left="0" w:firstLine="284"/>
        <w:jc w:val="both"/>
        <w:rPr>
          <w:rStyle w:val="longtext1"/>
          <w:sz w:val="24"/>
          <w:szCs w:val="24"/>
          <w:shd w:val="clear" w:color="auto" w:fill="FFFFFF"/>
          <w:lang w:val="en-US"/>
        </w:rPr>
      </w:pPr>
    </w:p>
    <w:p w:rsidR="00B30A8B" w:rsidRDefault="00B30A8B" w:rsidP="00816C7A">
      <w:pPr>
        <w:pStyle w:val="Retraitcorpsdetexte"/>
        <w:tabs>
          <w:tab w:val="left" w:pos="4320"/>
        </w:tabs>
        <w:spacing w:after="0"/>
        <w:ind w:left="0" w:firstLine="284"/>
        <w:jc w:val="both"/>
        <w:rPr>
          <w:rStyle w:val="longtext1"/>
          <w:sz w:val="24"/>
          <w:szCs w:val="24"/>
          <w:shd w:val="clear" w:color="auto" w:fill="FFFFFF"/>
          <w:lang w:val="en-US"/>
        </w:rPr>
      </w:pPr>
    </w:p>
    <w:p w:rsidR="00B30A8B" w:rsidRDefault="00B30A8B" w:rsidP="00816C7A">
      <w:pPr>
        <w:pStyle w:val="Retraitcorpsdetexte"/>
        <w:tabs>
          <w:tab w:val="left" w:pos="4320"/>
        </w:tabs>
        <w:spacing w:after="0"/>
        <w:ind w:left="0" w:firstLine="284"/>
        <w:jc w:val="both"/>
        <w:rPr>
          <w:rStyle w:val="longtext1"/>
          <w:sz w:val="24"/>
          <w:szCs w:val="24"/>
          <w:shd w:val="clear" w:color="auto" w:fill="FFFFFF"/>
          <w:lang w:val="en-US"/>
        </w:rPr>
      </w:pPr>
    </w:p>
    <w:p w:rsidR="00B421B3" w:rsidRDefault="00B421B3" w:rsidP="00B421B3">
      <w:pPr>
        <w:pBdr>
          <w:top w:val="single" w:sz="4" w:space="1" w:color="auto"/>
        </w:pBdr>
        <w:rPr>
          <w:rFonts w:eastAsia="MTSYN"/>
          <w:sz w:val="17"/>
          <w:szCs w:val="17"/>
          <w:lang w:eastAsia="en-US"/>
        </w:rPr>
      </w:pPr>
      <w:r>
        <w:rPr>
          <w:rFonts w:eastAsia="MTSYN"/>
          <w:sz w:val="17"/>
          <w:szCs w:val="17"/>
          <w:lang w:eastAsia="en-US"/>
        </w:rPr>
        <w:t>* Correspondant</w:t>
      </w:r>
    </w:p>
    <w:p w:rsidR="00B421B3" w:rsidRPr="00365D49" w:rsidRDefault="00B421B3" w:rsidP="00713A46">
      <w:pPr>
        <w:pBdr>
          <w:top w:val="single" w:sz="4" w:space="1" w:color="auto"/>
        </w:pBdr>
        <w:rPr>
          <w:w w:val="101"/>
          <w:sz w:val="28"/>
          <w:szCs w:val="28"/>
        </w:rPr>
      </w:pPr>
      <w:r>
        <w:rPr>
          <w:rFonts w:eastAsia="MTSYN"/>
          <w:sz w:val="17"/>
          <w:szCs w:val="17"/>
          <w:lang w:eastAsia="en-US"/>
        </w:rPr>
        <w:t>Adre</w:t>
      </w:r>
      <w:r w:rsidRPr="00365D49">
        <w:rPr>
          <w:rFonts w:eastAsia="MTSYN"/>
          <w:sz w:val="17"/>
          <w:szCs w:val="17"/>
          <w:lang w:eastAsia="en-US"/>
        </w:rPr>
        <w:t>ss</w:t>
      </w:r>
      <w:r>
        <w:rPr>
          <w:rFonts w:eastAsia="MTSYN"/>
          <w:sz w:val="17"/>
          <w:szCs w:val="17"/>
          <w:lang w:eastAsia="en-US"/>
        </w:rPr>
        <w:t xml:space="preserve">e e-mail: </w:t>
      </w:r>
      <w:hyperlink r:id="rId7" w:history="1">
        <w:r w:rsidR="00713A46" w:rsidRPr="00281DAD">
          <w:rPr>
            <w:rStyle w:val="Lienhypertexte"/>
            <w:rFonts w:eastAsia="MTSYN"/>
            <w:sz w:val="17"/>
            <w:szCs w:val="17"/>
            <w:lang w:eastAsia="en-US"/>
          </w:rPr>
          <w:t>data</w:t>
        </w:r>
        <w:r w:rsidR="00713A46">
          <w:rPr>
            <w:rStyle w:val="Lienhypertexte"/>
            <w:rFonts w:eastAsia="MTSYN"/>
            <w:sz w:val="17"/>
            <w:szCs w:val="17"/>
            <w:lang w:eastAsia="en-US"/>
          </w:rPr>
          <w:t>elouardi@gmail.com</w:t>
        </w:r>
      </w:hyperlink>
      <w:r>
        <w:rPr>
          <w:rFonts w:eastAsia="MTSYN"/>
          <w:sz w:val="17"/>
          <w:szCs w:val="17"/>
          <w:lang w:eastAsia="en-US"/>
        </w:rPr>
        <w:t xml:space="preserve"> (M. El ouardi)</w:t>
      </w:r>
    </w:p>
    <w:p w:rsidR="00B421B3" w:rsidRPr="00B421B3" w:rsidRDefault="00B421B3" w:rsidP="00816C7A">
      <w:pPr>
        <w:pStyle w:val="Retraitcorpsdetexte"/>
        <w:tabs>
          <w:tab w:val="left" w:pos="4320"/>
        </w:tabs>
        <w:spacing w:after="0"/>
        <w:ind w:left="0" w:firstLine="284"/>
        <w:jc w:val="both"/>
        <w:rPr>
          <w:rStyle w:val="longtext1"/>
          <w:sz w:val="24"/>
          <w:szCs w:val="24"/>
          <w:shd w:val="clear" w:color="auto" w:fill="FFFFFF"/>
        </w:rPr>
        <w:sectPr w:rsidR="00B421B3" w:rsidRPr="00B421B3" w:rsidSect="00816C7A">
          <w:footerReference w:type="even" r:id="rId8"/>
          <w:footerReference w:type="default" r:id="rId9"/>
          <w:pgSz w:w="11906" w:h="16838" w:code="9"/>
          <w:pgMar w:top="1418" w:right="1418" w:bottom="1418" w:left="1418" w:header="709" w:footer="709" w:gutter="0"/>
          <w:cols w:space="708"/>
          <w:docGrid w:linePitch="360"/>
        </w:sectPr>
      </w:pPr>
    </w:p>
    <w:p w:rsidR="007D70C5" w:rsidRPr="00B421B3" w:rsidRDefault="00713A46" w:rsidP="00713A46">
      <w:pPr>
        <w:rPr>
          <w:rStyle w:val="longtext1"/>
          <w:b/>
          <w:bCs/>
          <w:sz w:val="28"/>
          <w:szCs w:val="28"/>
          <w:shd w:val="clear" w:color="auto" w:fill="FFFFFF"/>
        </w:rPr>
      </w:pPr>
      <w:r>
        <w:rPr>
          <w:rStyle w:val="longtext1"/>
          <w:b/>
          <w:bCs/>
          <w:sz w:val="28"/>
          <w:szCs w:val="28"/>
          <w:shd w:val="clear" w:color="auto" w:fill="FFFFFF"/>
        </w:rPr>
        <w:lastRenderedPageBreak/>
        <w:br w:type="page"/>
      </w:r>
      <w:r w:rsidR="004228F0" w:rsidRPr="00B421B3">
        <w:rPr>
          <w:rStyle w:val="longtext1"/>
          <w:b/>
          <w:bCs/>
          <w:sz w:val="28"/>
          <w:szCs w:val="28"/>
          <w:shd w:val="clear" w:color="auto" w:fill="FFFFFF"/>
        </w:rPr>
        <w:lastRenderedPageBreak/>
        <w:t>1. Introduction</w:t>
      </w:r>
    </w:p>
    <w:p w:rsidR="006650AB" w:rsidRPr="00081FC8" w:rsidRDefault="006650AB" w:rsidP="00EB3FB0">
      <w:pPr>
        <w:jc w:val="both"/>
        <w:rPr>
          <w:color w:val="0000FF"/>
          <w:lang w:val="en-US"/>
        </w:rPr>
      </w:pPr>
      <w:r w:rsidRPr="00361E6E">
        <w:rPr>
          <w:rStyle w:val="longtext1"/>
          <w:sz w:val="24"/>
          <w:szCs w:val="24"/>
          <w:shd w:val="clear" w:color="auto" w:fill="FFFFFF"/>
          <w:lang w:val="en-US"/>
        </w:rPr>
        <w:t xml:space="preserve">The Moroccan phosphate deposits constitute a family of very diverse products according to their origin, type of formation and geological history. Their agronomic effectiveness depends first on their inherent characteristics: mineralogy, crystallography, surface area, solubility etc… For that purpose, they undergo a various types of enrichment operations depending on the particles size and chemical characteristics. Among the special techniques of enrichment that can be applied is the calcination, which permits to remove organic matter and also affects the properties of use </w:t>
      </w:r>
      <w:r w:rsidR="00696B21">
        <w:rPr>
          <w:rStyle w:val="longtext1"/>
          <w:sz w:val="24"/>
          <w:szCs w:val="24"/>
          <w:shd w:val="clear" w:color="auto" w:fill="FFFFFF"/>
          <w:lang w:val="en-US"/>
        </w:rPr>
        <w:t>[1 – 7]</w:t>
      </w:r>
      <w:r w:rsidRPr="00361E6E">
        <w:rPr>
          <w:rStyle w:val="longtext1"/>
          <w:sz w:val="24"/>
          <w:szCs w:val="24"/>
          <w:shd w:val="clear" w:color="auto" w:fill="FFFFFF"/>
          <w:lang w:val="en-US"/>
        </w:rPr>
        <w:t xml:space="preserve">. Time, temperature and physical-chemical proprieties of phosphates are the main parameters of the calcination </w:t>
      </w:r>
      <w:r w:rsidR="002104B5">
        <w:rPr>
          <w:rStyle w:val="longtext1"/>
          <w:sz w:val="24"/>
          <w:szCs w:val="24"/>
          <w:shd w:val="clear" w:color="auto" w:fill="FFFFFF"/>
          <w:lang w:val="en-US"/>
        </w:rPr>
        <w:t>[3; 4]</w:t>
      </w:r>
      <w:r w:rsidRPr="00361E6E">
        <w:rPr>
          <w:rStyle w:val="longtext1"/>
          <w:sz w:val="24"/>
          <w:szCs w:val="24"/>
          <w:shd w:val="clear" w:color="auto" w:fill="FFFFFF"/>
          <w:lang w:val="en-US"/>
        </w:rPr>
        <w:t xml:space="preserve">. They have a direct impact during the industrial processes and hence on the overall outcome. </w:t>
      </w:r>
      <w:r w:rsidRPr="00361E6E">
        <w:rPr>
          <w:lang w:val="en-US"/>
        </w:rPr>
        <w:t>In addition, the calcination treatment typically made at an elevated temperature followed by a cooling to ambient temperature</w:t>
      </w:r>
      <w:r w:rsidR="007E0DE4">
        <w:rPr>
          <w:lang w:val="en-US"/>
        </w:rPr>
        <w:t xml:space="preserve"> </w:t>
      </w:r>
      <w:r w:rsidRPr="00361E6E">
        <w:rPr>
          <w:lang w:val="en-US"/>
        </w:rPr>
        <w:t xml:space="preserve">corresponds to a loss of considerable energy </w:t>
      </w:r>
      <w:r w:rsidR="00EB3FB0">
        <w:rPr>
          <w:lang w:val="en-US"/>
        </w:rPr>
        <w:t>[2; 8; 9]</w:t>
      </w:r>
      <w:r w:rsidRPr="00361E6E">
        <w:rPr>
          <w:lang w:val="en-US"/>
        </w:rPr>
        <w:t>. We are</w:t>
      </w:r>
      <w:r w:rsidR="007E0DE4">
        <w:rPr>
          <w:lang w:val="en-US"/>
        </w:rPr>
        <w:t>,</w:t>
      </w:r>
      <w:r w:rsidRPr="00361E6E">
        <w:rPr>
          <w:lang w:val="en-US"/>
        </w:rPr>
        <w:t xml:space="preserve"> therefore</w:t>
      </w:r>
      <w:r w:rsidR="007E0DE4">
        <w:rPr>
          <w:lang w:val="en-US"/>
        </w:rPr>
        <w:t>,</w:t>
      </w:r>
      <w:r w:rsidRPr="00361E6E">
        <w:rPr>
          <w:lang w:val="en-US"/>
        </w:rPr>
        <w:t xml:space="preserve"> faced to the problem of the optimization of heat treatment which has known, in the recent years, a particular importance due to the high cost of energy and the economical imperatives that follow from it.</w:t>
      </w:r>
    </w:p>
    <w:p w:rsidR="00841812" w:rsidRPr="00AA502C" w:rsidRDefault="00841812" w:rsidP="003B1EAF">
      <w:pPr>
        <w:jc w:val="both"/>
        <w:rPr>
          <w:color w:val="0000FF"/>
          <w:lang w:val="en-US"/>
        </w:rPr>
      </w:pPr>
      <w:r w:rsidRPr="00361E6E">
        <w:rPr>
          <w:lang w:val="en-US"/>
        </w:rPr>
        <w:t xml:space="preserve">It is important to note that the presence of the organic matter and carbonates appears through many phenomena that occur within the various constituents of this matter: they affect the thermokinetic, thermoconvective and thermodiffusifs aspects which dependent on the thermophysical properties of the environment </w:t>
      </w:r>
      <w:r w:rsidR="00EB3FB0">
        <w:rPr>
          <w:lang w:val="en-US"/>
        </w:rPr>
        <w:t>[10]</w:t>
      </w:r>
      <w:r w:rsidRPr="00361E6E">
        <w:rPr>
          <w:lang w:val="en-US"/>
        </w:rPr>
        <w:t>. This coupling between the thermo-hydro-mechanical and chemical properties has a positive impact on a new hot mixing protocol.</w:t>
      </w:r>
    </w:p>
    <w:p w:rsidR="004E24B2" w:rsidRPr="00361E6E" w:rsidRDefault="004E24B2" w:rsidP="003B1EAF">
      <w:pPr>
        <w:widowControl w:val="0"/>
        <w:tabs>
          <w:tab w:val="left" w:pos="4320"/>
        </w:tabs>
        <w:autoSpaceDE w:val="0"/>
        <w:autoSpaceDN w:val="0"/>
        <w:adjustRightInd w:val="0"/>
        <w:jc w:val="both"/>
        <w:rPr>
          <w:lang w:val="en-GB"/>
        </w:rPr>
      </w:pPr>
      <w:r w:rsidRPr="00361E6E">
        <w:rPr>
          <w:lang w:val="en-GB"/>
        </w:rPr>
        <w:t>In the present work, we will be interested in optimization of the energetic cost by recuperation of the energy lost during the cooling cycle. We propose to use this energy in the calcination of a given quantity of phosphate. Thus, it appeared interesting to determine firstly, calcination temperature and the time’s stay of phosphate, then to study mixtures of cold and hot phosphate.</w:t>
      </w:r>
    </w:p>
    <w:p w:rsidR="004E24B2" w:rsidRPr="00361E6E" w:rsidRDefault="00287510" w:rsidP="00372966">
      <w:pPr>
        <w:widowControl w:val="0"/>
        <w:tabs>
          <w:tab w:val="left" w:pos="4320"/>
        </w:tabs>
        <w:autoSpaceDE w:val="0"/>
        <w:autoSpaceDN w:val="0"/>
        <w:adjustRightInd w:val="0"/>
        <w:spacing w:before="120" w:after="120"/>
        <w:jc w:val="both"/>
        <w:rPr>
          <w:lang w:val="en-GB"/>
        </w:rPr>
      </w:pPr>
      <w:r>
        <w:rPr>
          <w:b/>
          <w:bCs/>
          <w:lang w:val="en-GB"/>
        </w:rPr>
        <w:t xml:space="preserve">2. </w:t>
      </w:r>
      <w:r w:rsidRPr="00361E6E">
        <w:rPr>
          <w:b/>
          <w:bCs/>
          <w:lang w:val="en-GB"/>
        </w:rPr>
        <w:t>Raw material used and protocol of calcination</w:t>
      </w:r>
    </w:p>
    <w:p w:rsidR="004E24B2" w:rsidRPr="00361E6E" w:rsidRDefault="00287510" w:rsidP="00372966">
      <w:pPr>
        <w:widowControl w:val="0"/>
        <w:tabs>
          <w:tab w:val="left" w:pos="4320"/>
        </w:tabs>
        <w:autoSpaceDE w:val="0"/>
        <w:autoSpaceDN w:val="0"/>
        <w:adjustRightInd w:val="0"/>
        <w:spacing w:before="120" w:after="120"/>
        <w:jc w:val="both"/>
        <w:rPr>
          <w:b/>
          <w:bCs/>
          <w:lang w:val="en-GB"/>
        </w:rPr>
      </w:pPr>
      <w:r>
        <w:rPr>
          <w:b/>
          <w:bCs/>
          <w:lang w:val="en-GB"/>
        </w:rPr>
        <w:t xml:space="preserve">2.1. </w:t>
      </w:r>
      <w:r w:rsidR="004E24B2" w:rsidRPr="00361E6E">
        <w:rPr>
          <w:b/>
          <w:bCs/>
          <w:lang w:val="en-GB"/>
        </w:rPr>
        <w:t>Phosphate ore</w:t>
      </w:r>
    </w:p>
    <w:p w:rsidR="004E24B2" w:rsidRPr="00AA502C" w:rsidRDefault="004E24B2" w:rsidP="004C3DD6">
      <w:pPr>
        <w:jc w:val="both"/>
        <w:rPr>
          <w:color w:val="0000FF"/>
          <w:lang w:val="en-US"/>
        </w:rPr>
      </w:pPr>
      <w:r w:rsidRPr="00361E6E">
        <w:rPr>
          <w:lang w:val="en-GB"/>
        </w:rPr>
        <w:t>The sedimentary layers of phosphates are made mainly by apatite. They contain the carbonated fluorapatite named francolite</w:t>
      </w:r>
      <w:r w:rsidR="00AA502C">
        <w:rPr>
          <w:lang w:val="en-GB"/>
        </w:rPr>
        <w:t xml:space="preserve"> </w:t>
      </w:r>
      <w:r w:rsidR="004C3DD6">
        <w:rPr>
          <w:lang w:val="en-GB"/>
        </w:rPr>
        <w:t>[11]</w:t>
      </w:r>
      <w:r w:rsidRPr="00361E6E">
        <w:rPr>
          <w:lang w:val="en-GB"/>
        </w:rPr>
        <w:t xml:space="preserve">. These sedimentary layers can contain apatite having a wide range of physical properties and very varied chemical and crystallographic characteristics, due to the geological conditions and after deposit’s deteriorations </w:t>
      </w:r>
      <w:r w:rsidR="004C3DD6">
        <w:rPr>
          <w:lang w:val="en-GB"/>
        </w:rPr>
        <w:t>[12]</w:t>
      </w:r>
      <w:r w:rsidRPr="00361E6E">
        <w:rPr>
          <w:lang w:val="en-GB"/>
        </w:rPr>
        <w:t>. Apatite is a mineral of general formula: Me</w:t>
      </w:r>
      <w:r w:rsidRPr="00361E6E">
        <w:rPr>
          <w:vertAlign w:val="subscript"/>
          <w:lang w:val="en-GB"/>
        </w:rPr>
        <w:t>10</w:t>
      </w:r>
      <w:r w:rsidRPr="00361E6E">
        <w:rPr>
          <w:lang w:val="en-GB"/>
        </w:rPr>
        <w:t>(XO</w:t>
      </w:r>
      <w:r w:rsidRPr="00361E6E">
        <w:rPr>
          <w:vertAlign w:val="subscript"/>
          <w:lang w:val="en-GB"/>
        </w:rPr>
        <w:t>4</w:t>
      </w:r>
      <w:r w:rsidRPr="00361E6E">
        <w:rPr>
          <w:lang w:val="en-GB"/>
        </w:rPr>
        <w:t>)</w:t>
      </w:r>
      <w:r w:rsidRPr="00361E6E">
        <w:rPr>
          <w:vertAlign w:val="subscript"/>
          <w:lang w:val="en-GB"/>
        </w:rPr>
        <w:t>6</w:t>
      </w:r>
      <w:r w:rsidRPr="00361E6E">
        <w:rPr>
          <w:lang w:val="en-GB"/>
        </w:rPr>
        <w:t>Y</w:t>
      </w:r>
      <w:r w:rsidRPr="00361E6E">
        <w:rPr>
          <w:vertAlign w:val="subscript"/>
          <w:lang w:val="en-GB"/>
        </w:rPr>
        <w:t>2</w:t>
      </w:r>
      <w:r w:rsidRPr="00361E6E">
        <w:rPr>
          <w:lang w:val="en-GB"/>
        </w:rPr>
        <w:t xml:space="preserve">; Me has often a divalent cation, </w:t>
      </w:r>
      <w:r w:rsidR="00707D85" w:rsidRPr="00361E6E">
        <w:rPr>
          <w:position w:val="-10"/>
          <w:lang w:val="en-GB"/>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7.85pt" o:ole="">
            <v:imagedata r:id="rId10" o:title=""/>
          </v:shape>
          <o:OLEObject Type="Embed" ProgID="Equation.3" ShapeID="_x0000_i1025" DrawAspect="Content" ObjectID="_1622669530" r:id="rId11"/>
        </w:object>
      </w:r>
      <w:r w:rsidRPr="00361E6E">
        <w:rPr>
          <w:lang w:val="en-GB"/>
        </w:rPr>
        <w:t xml:space="preserve"> has a trivalent grouping and Y</w:t>
      </w:r>
      <w:r w:rsidR="00E029E0" w:rsidRPr="00361E6E">
        <w:rPr>
          <w:vertAlign w:val="superscript"/>
          <w:lang w:val="en-GB"/>
        </w:rPr>
        <w:t>-</w:t>
      </w:r>
      <w:r w:rsidRPr="00361E6E">
        <w:rPr>
          <w:lang w:val="en-GB"/>
        </w:rPr>
        <w:t xml:space="preserve"> has a monovalent anion</w:t>
      </w:r>
      <w:r w:rsidR="00E029E0" w:rsidRPr="00361E6E">
        <w:rPr>
          <w:lang w:val="en-GB"/>
        </w:rPr>
        <w:t>.</w:t>
      </w:r>
    </w:p>
    <w:p w:rsidR="004E24B2" w:rsidRPr="0004791E" w:rsidRDefault="004E24B2" w:rsidP="004C3DD6">
      <w:pPr>
        <w:autoSpaceDE w:val="0"/>
        <w:autoSpaceDN w:val="0"/>
        <w:adjustRightInd w:val="0"/>
        <w:jc w:val="both"/>
        <w:rPr>
          <w:color w:val="0000FF"/>
          <w:lang w:val="en-US"/>
        </w:rPr>
      </w:pPr>
      <w:r w:rsidRPr="00361E6E">
        <w:rPr>
          <w:lang w:val="en-GB"/>
        </w:rPr>
        <w:t>In addition to the matrix containing phosphorus, the phosphated layers contain also secondary minerals or impurities of gangue which become differentiated according to the conditions of sedimentation. These impurities are sometimes geologically well isolated in quite separate layers, or closely mixed with the phosphate ore. They include, in various combinations and concentrations, organic matter, silica, clayey minerals, calcite, dolomite and hydrated oxides of iron and aluminium</w:t>
      </w:r>
      <w:r w:rsidR="004C3DD6">
        <w:rPr>
          <w:lang w:val="en-GB"/>
        </w:rPr>
        <w:t xml:space="preserve"> [13; 14]</w:t>
      </w:r>
      <w:r w:rsidRPr="00361E6E">
        <w:rPr>
          <w:lang w:val="en-GB"/>
        </w:rPr>
        <w:t xml:space="preserve">. They have an influence on processes of phosphates valorising and on the efficiency of the natural phosphated rock used in a direct application </w:t>
      </w:r>
      <w:r w:rsidR="004C3DD6">
        <w:rPr>
          <w:lang w:val="en-GB"/>
        </w:rPr>
        <w:t>[13; 14]</w:t>
      </w:r>
      <w:r w:rsidRPr="00361E6E">
        <w:rPr>
          <w:lang w:val="en-GB"/>
        </w:rPr>
        <w:t>.</w:t>
      </w:r>
    </w:p>
    <w:p w:rsidR="004E24B2" w:rsidRPr="00361E6E" w:rsidRDefault="00287510" w:rsidP="00243CFB">
      <w:pPr>
        <w:widowControl w:val="0"/>
        <w:tabs>
          <w:tab w:val="left" w:pos="4320"/>
        </w:tabs>
        <w:autoSpaceDE w:val="0"/>
        <w:autoSpaceDN w:val="0"/>
        <w:adjustRightInd w:val="0"/>
        <w:spacing w:before="120" w:after="120"/>
        <w:jc w:val="both"/>
        <w:rPr>
          <w:b/>
          <w:bCs/>
          <w:lang w:val="en-GB"/>
        </w:rPr>
      </w:pPr>
      <w:r>
        <w:rPr>
          <w:b/>
          <w:bCs/>
          <w:lang w:val="en-GB"/>
        </w:rPr>
        <w:t xml:space="preserve">2. 2. </w:t>
      </w:r>
      <w:r w:rsidR="004E24B2" w:rsidRPr="00361E6E">
        <w:rPr>
          <w:b/>
          <w:bCs/>
          <w:lang w:val="en-GB"/>
        </w:rPr>
        <w:t>Geological data on the studied zone</w:t>
      </w:r>
    </w:p>
    <w:p w:rsidR="004E24B2" w:rsidRPr="00043EBE" w:rsidRDefault="004E24B2" w:rsidP="00102028">
      <w:pPr>
        <w:jc w:val="both"/>
        <w:rPr>
          <w:color w:val="0000FF"/>
          <w:lang w:val="en-US"/>
        </w:rPr>
      </w:pPr>
      <w:smartTag w:uri="urn:schemas-microsoft-com:office:smarttags" w:element="country-region">
        <w:smartTag w:uri="urn:schemas-microsoft-com:office:smarttags" w:element="place">
          <w:r w:rsidRPr="00361E6E">
            <w:rPr>
              <w:lang w:val="en-GB"/>
            </w:rPr>
            <w:t>Morocco</w:t>
          </w:r>
        </w:smartTag>
      </w:smartTag>
      <w:r w:rsidRPr="00361E6E">
        <w:rPr>
          <w:lang w:val="en-GB"/>
        </w:rPr>
        <w:t xml:space="preserve"> has the three quarters of the identified world phosphate reserves, and is the largest exporter country. The Moroccan sedimentary phosphate deposits contain relatively large quantities of associated minerals </w:t>
      </w:r>
      <w:r w:rsidR="00102028">
        <w:rPr>
          <w:lang w:val="en-GB"/>
        </w:rPr>
        <w:t>[15; 16]</w:t>
      </w:r>
      <w:r w:rsidRPr="00361E6E">
        <w:rPr>
          <w:lang w:val="en-GB"/>
        </w:rPr>
        <w:t xml:space="preserve">. The main facies concerned in this study are: sandy granular phosphate, limestones, dolomites, marls, clays and silicification-diagenétique-inserted. In term of microfacies, phosphorites are always a mixture of diversified origin (indigenous and/or immigrant) </w:t>
      </w:r>
      <w:r w:rsidR="00102028">
        <w:rPr>
          <w:lang w:val="en-GB"/>
        </w:rPr>
        <w:t>[17]</w:t>
      </w:r>
      <w:r w:rsidRPr="00361E6E">
        <w:rPr>
          <w:lang w:val="en-GB"/>
        </w:rPr>
        <w:t>. These general properties were described by L. Bilali and coll</w:t>
      </w:r>
      <w:r w:rsidR="00102028">
        <w:rPr>
          <w:lang w:val="en-GB"/>
        </w:rPr>
        <w:t xml:space="preserve"> [10]</w:t>
      </w:r>
      <w:r w:rsidRPr="00361E6E">
        <w:rPr>
          <w:lang w:val="en-GB"/>
        </w:rPr>
        <w:t>.</w:t>
      </w:r>
    </w:p>
    <w:p w:rsidR="004E24B2" w:rsidRPr="00361E6E" w:rsidRDefault="004E24B2" w:rsidP="00816C7A">
      <w:pPr>
        <w:widowControl w:val="0"/>
        <w:tabs>
          <w:tab w:val="left" w:pos="4320"/>
        </w:tabs>
        <w:autoSpaceDE w:val="0"/>
        <w:autoSpaceDN w:val="0"/>
        <w:adjustRightInd w:val="0"/>
        <w:ind w:firstLine="284"/>
        <w:jc w:val="both"/>
        <w:rPr>
          <w:lang w:val="en-GB"/>
        </w:rPr>
      </w:pPr>
      <w:r w:rsidRPr="00361E6E">
        <w:rPr>
          <w:lang w:val="en-GB"/>
        </w:rPr>
        <w:t xml:space="preserve">The studied phosphate samples were taken from the site of Bouchane, about </w:t>
      </w:r>
      <w:smartTag w:uri="urn:schemas-microsoft-com:office:smarttags" w:element="metricconverter">
        <w:smartTagPr>
          <w:attr w:name="ProductID" w:val="40 km"/>
        </w:smartTagPr>
        <w:r w:rsidRPr="00361E6E">
          <w:rPr>
            <w:lang w:val="en-GB"/>
          </w:rPr>
          <w:t>40 km</w:t>
        </w:r>
      </w:smartTag>
      <w:r w:rsidRPr="00361E6E">
        <w:rPr>
          <w:lang w:val="en-GB"/>
        </w:rPr>
        <w:t xml:space="preserve"> East of Youssoufia town. The industrial exploitation of phosphate is in opencast (Fig. 1).</w:t>
      </w:r>
    </w:p>
    <w:p w:rsidR="009E35B9" w:rsidRPr="00361E6E" w:rsidRDefault="00442C85" w:rsidP="007D70C5">
      <w:pPr>
        <w:tabs>
          <w:tab w:val="left" w:pos="4320"/>
        </w:tabs>
        <w:spacing w:before="120" w:after="120"/>
        <w:jc w:val="center"/>
      </w:pPr>
      <w:r>
        <w:rPr>
          <w:noProof/>
        </w:rPr>
        <w:drawing>
          <wp:inline distT="0" distB="0" distL="0" distR="0">
            <wp:extent cx="2552700" cy="2340610"/>
            <wp:effectExtent l="19050" t="19050" r="19050" b="215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340610"/>
                    </a:xfrm>
                    <a:prstGeom prst="rect">
                      <a:avLst/>
                    </a:prstGeom>
                    <a:noFill/>
                    <a:ln w="6350" cmpd="sng">
                      <a:solidFill>
                        <a:srgbClr val="000000"/>
                      </a:solidFill>
                      <a:miter lim="800000"/>
                      <a:headEnd/>
                      <a:tailEnd/>
                    </a:ln>
                    <a:effectLst/>
                  </pic:spPr>
                </pic:pic>
              </a:graphicData>
            </a:graphic>
          </wp:inline>
        </w:drawing>
      </w:r>
    </w:p>
    <w:p w:rsidR="003508CF" w:rsidRPr="00361E6E" w:rsidRDefault="003508CF" w:rsidP="007D70C5">
      <w:pPr>
        <w:widowControl w:val="0"/>
        <w:tabs>
          <w:tab w:val="left" w:pos="4320"/>
        </w:tabs>
        <w:autoSpaceDE w:val="0"/>
        <w:autoSpaceDN w:val="0"/>
        <w:adjustRightInd w:val="0"/>
        <w:spacing w:before="120" w:after="120"/>
        <w:jc w:val="both"/>
        <w:rPr>
          <w:rFonts w:ascii="Courier New" w:hAnsi="Courier New" w:cs="Courier New"/>
          <w:sz w:val="20"/>
          <w:szCs w:val="20"/>
          <w:lang w:val="en-GB"/>
        </w:rPr>
      </w:pPr>
      <w:r w:rsidRPr="00361E6E">
        <w:rPr>
          <w:b/>
          <w:bCs/>
          <w:sz w:val="20"/>
          <w:szCs w:val="20"/>
          <w:lang w:val="en-GB"/>
        </w:rPr>
        <w:t>Fig</w:t>
      </w:r>
      <w:r w:rsidR="00707D85" w:rsidRPr="00361E6E">
        <w:rPr>
          <w:b/>
          <w:bCs/>
          <w:sz w:val="20"/>
          <w:szCs w:val="20"/>
          <w:lang w:val="en-GB"/>
        </w:rPr>
        <w:t>ure</w:t>
      </w:r>
      <w:r w:rsidRPr="00361E6E">
        <w:rPr>
          <w:b/>
          <w:bCs/>
          <w:sz w:val="20"/>
          <w:szCs w:val="20"/>
          <w:lang w:val="en-GB"/>
        </w:rPr>
        <w:t>. 1.</w:t>
      </w:r>
      <w:r w:rsidRPr="00361E6E">
        <w:rPr>
          <w:sz w:val="20"/>
          <w:szCs w:val="20"/>
          <w:lang w:val="en-GB"/>
        </w:rPr>
        <w:t xml:space="preserve"> Geographic location of the phosphate layers of the </w:t>
      </w:r>
      <w:smartTag w:uri="urn:schemas-microsoft-com:office:smarttags" w:element="place">
        <w:smartTag w:uri="urn:schemas-microsoft-com:office:smarttags" w:element="PlaceName">
          <w:r w:rsidRPr="00361E6E">
            <w:rPr>
              <w:sz w:val="20"/>
              <w:szCs w:val="20"/>
              <w:lang w:val="en-GB"/>
            </w:rPr>
            <w:t>Ganntour</w:t>
          </w:r>
        </w:smartTag>
        <w:r w:rsidRPr="00361E6E">
          <w:rPr>
            <w:sz w:val="20"/>
            <w:szCs w:val="20"/>
            <w:lang w:val="en-GB"/>
          </w:rPr>
          <w:t xml:space="preserve"> </w:t>
        </w:r>
        <w:smartTag w:uri="urn:schemas-microsoft-com:office:smarttags" w:element="PlaceType">
          <w:r w:rsidRPr="00361E6E">
            <w:rPr>
              <w:sz w:val="20"/>
              <w:szCs w:val="20"/>
              <w:lang w:val="en-GB"/>
            </w:rPr>
            <w:t>Basin</w:t>
          </w:r>
        </w:smartTag>
      </w:smartTag>
      <w:r w:rsidR="00102028">
        <w:rPr>
          <w:sz w:val="20"/>
          <w:szCs w:val="20"/>
          <w:lang w:val="en-GB"/>
        </w:rPr>
        <w:t xml:space="preserve"> [18]</w:t>
      </w:r>
    </w:p>
    <w:p w:rsidR="007A01FD" w:rsidRPr="00361E6E" w:rsidRDefault="00287510" w:rsidP="00243CFB">
      <w:pPr>
        <w:widowControl w:val="0"/>
        <w:tabs>
          <w:tab w:val="left" w:pos="4320"/>
        </w:tabs>
        <w:autoSpaceDE w:val="0"/>
        <w:autoSpaceDN w:val="0"/>
        <w:adjustRightInd w:val="0"/>
        <w:spacing w:before="120" w:after="120"/>
        <w:jc w:val="both"/>
        <w:rPr>
          <w:b/>
          <w:bCs/>
          <w:lang w:val="en-GB"/>
        </w:rPr>
      </w:pPr>
      <w:r>
        <w:rPr>
          <w:b/>
          <w:bCs/>
          <w:lang w:val="en-GB"/>
        </w:rPr>
        <w:t xml:space="preserve">2. 3. </w:t>
      </w:r>
      <w:r w:rsidR="007A01FD" w:rsidRPr="00361E6E">
        <w:rPr>
          <w:b/>
          <w:bCs/>
          <w:lang w:val="en-GB"/>
        </w:rPr>
        <w:t>Physico-chemical characterization of the raw material</w:t>
      </w:r>
    </w:p>
    <w:p w:rsidR="00D765BA" w:rsidRPr="00361E6E" w:rsidRDefault="00D765BA" w:rsidP="00816C7A">
      <w:pPr>
        <w:tabs>
          <w:tab w:val="left" w:pos="4320"/>
        </w:tabs>
        <w:ind w:firstLine="284"/>
        <w:jc w:val="both"/>
        <w:rPr>
          <w:lang w:val="en-US"/>
        </w:rPr>
      </w:pPr>
      <w:r w:rsidRPr="00361E6E">
        <w:rPr>
          <w:lang w:val="en-US"/>
        </w:rPr>
        <w:t>The studies of phosphate samples characterization should provide data on: (i) composition of apatite, other phosphate and gangue’s minerals, (ii) the relative amounts of the existing mineral species (iii) the particle size of various minerals in the structure of phosphate ... etc.</w:t>
      </w:r>
    </w:p>
    <w:p w:rsidR="00D765BA" w:rsidRPr="00671023" w:rsidRDefault="00D765BA" w:rsidP="006F3742">
      <w:pPr>
        <w:ind w:firstLine="284"/>
        <w:jc w:val="both"/>
        <w:rPr>
          <w:color w:val="0000FF"/>
          <w:lang w:val="en-US"/>
        </w:rPr>
      </w:pPr>
      <w:r w:rsidRPr="00361E6E">
        <w:rPr>
          <w:lang w:val="en-US"/>
        </w:rPr>
        <w:t xml:space="preserve">Indeed, the general properties of the phosphate of Bouchane, located </w:t>
      </w:r>
      <w:smartTag w:uri="urn:schemas-microsoft-com:office:smarttags" w:element="metricconverter">
        <w:smartTagPr>
          <w:attr w:name="ProductID" w:val="40 km"/>
        </w:smartTagPr>
        <w:r w:rsidRPr="00361E6E">
          <w:rPr>
            <w:lang w:val="en-US"/>
          </w:rPr>
          <w:t>40 km</w:t>
        </w:r>
      </w:smartTag>
      <w:r w:rsidRPr="00361E6E">
        <w:rPr>
          <w:lang w:val="en-US"/>
        </w:rPr>
        <w:t xml:space="preserve"> east of the Youssoufia town such as dimensional ranking, chemical analysis</w:t>
      </w:r>
      <w:r w:rsidR="006F3742">
        <w:rPr>
          <w:lang w:val="en-US"/>
        </w:rPr>
        <w:t>,</w:t>
      </w:r>
      <w:r w:rsidRPr="00361E6E">
        <w:rPr>
          <w:lang w:val="en-US"/>
        </w:rPr>
        <w:t xml:space="preserve"> mineralogical and thermal analysis made in previous work </w:t>
      </w:r>
      <w:r w:rsidR="00671023">
        <w:rPr>
          <w:lang w:val="en-US"/>
        </w:rPr>
        <w:t xml:space="preserve"> </w:t>
      </w:r>
      <w:r w:rsidR="00102028">
        <w:rPr>
          <w:lang w:val="en-US"/>
        </w:rPr>
        <w:t>[3; 4; 7]</w:t>
      </w:r>
      <w:r w:rsidRPr="00361E6E">
        <w:rPr>
          <w:lang w:val="en-US"/>
        </w:rPr>
        <w:t>. This new deposit</w:t>
      </w:r>
      <w:r w:rsidR="007E0DE4">
        <w:rPr>
          <w:lang w:val="en-US"/>
        </w:rPr>
        <w:t>,</w:t>
      </w:r>
      <w:r w:rsidRPr="00361E6E">
        <w:rPr>
          <w:lang w:val="en-US"/>
        </w:rPr>
        <w:t xml:space="preserve"> which has significant amounts of phosphates, is the subject of a particular attention because of its important granulochemical properties including a minimum of organic matter and carbonates and a decrease in the abundance of grains of phosphate of the lower and upper parts. In addition, the operating cost is low in that it is carried out in the open air.</w:t>
      </w:r>
    </w:p>
    <w:p w:rsidR="00456D7D" w:rsidRPr="006A4182" w:rsidRDefault="006F3742" w:rsidP="00243CFB">
      <w:pPr>
        <w:tabs>
          <w:tab w:val="left" w:pos="4320"/>
        </w:tabs>
        <w:spacing w:before="120" w:after="120"/>
        <w:jc w:val="both"/>
        <w:rPr>
          <w:b/>
          <w:bCs/>
        </w:rPr>
      </w:pPr>
      <w:r>
        <w:rPr>
          <w:b/>
          <w:bCs/>
        </w:rPr>
        <w:t>2. 3. 1</w:t>
      </w:r>
      <w:r w:rsidR="00287510" w:rsidRPr="006A4182">
        <w:rPr>
          <w:b/>
          <w:bCs/>
        </w:rPr>
        <w:t xml:space="preserve">. </w:t>
      </w:r>
      <w:r w:rsidR="00456D7D" w:rsidRPr="006A4182">
        <w:rPr>
          <w:b/>
          <w:bCs/>
        </w:rPr>
        <w:t>Granulometric analysis</w:t>
      </w:r>
    </w:p>
    <w:p w:rsidR="007A01FD" w:rsidRPr="00361E6E" w:rsidRDefault="007A01FD" w:rsidP="00816C7A">
      <w:pPr>
        <w:widowControl w:val="0"/>
        <w:tabs>
          <w:tab w:val="left" w:pos="4320"/>
        </w:tabs>
        <w:autoSpaceDE w:val="0"/>
        <w:autoSpaceDN w:val="0"/>
        <w:adjustRightInd w:val="0"/>
        <w:ind w:firstLine="284"/>
        <w:jc w:val="both"/>
        <w:rPr>
          <w:lang w:val="en-GB"/>
        </w:rPr>
      </w:pPr>
      <w:r w:rsidRPr="00361E6E">
        <w:rPr>
          <w:lang w:val="en-GB"/>
        </w:rPr>
        <w:t>The granulometric distribution was carried out by manual sifting under dry way using a series of sieves (Nylon fabrics) of meshs with round holes in geometric progression. The present study showed that the most part of the overall masses concentr</w:t>
      </w:r>
      <w:r w:rsidR="00AC0175">
        <w:rPr>
          <w:lang w:val="en-GB"/>
        </w:rPr>
        <w:t>ates in the section of 125µm - 8</w:t>
      </w:r>
      <w:r w:rsidRPr="00361E6E">
        <w:rPr>
          <w:lang w:val="en-GB"/>
        </w:rPr>
        <w:t xml:space="preserve">00µm. The granulometric distribution of phosphates are indicated in </w:t>
      </w:r>
      <w:r w:rsidR="00B618E5" w:rsidRPr="00361E6E">
        <w:rPr>
          <w:lang w:val="en-GB"/>
        </w:rPr>
        <w:t>figure</w:t>
      </w:r>
      <w:r w:rsidR="00CB134C" w:rsidRPr="00361E6E">
        <w:rPr>
          <w:lang w:val="en-GB"/>
        </w:rPr>
        <w:t xml:space="preserve"> 2</w:t>
      </w:r>
      <w:r w:rsidRPr="00361E6E">
        <w:rPr>
          <w:lang w:val="en-GB"/>
        </w:rPr>
        <w:t>.</w:t>
      </w:r>
    </w:p>
    <w:p w:rsidR="0038418A" w:rsidRPr="00361E6E" w:rsidRDefault="003B1EAF" w:rsidP="00D105B4">
      <w:pPr>
        <w:widowControl w:val="0"/>
        <w:tabs>
          <w:tab w:val="left" w:pos="4320"/>
        </w:tabs>
        <w:autoSpaceDE w:val="0"/>
        <w:autoSpaceDN w:val="0"/>
        <w:adjustRightInd w:val="0"/>
        <w:spacing w:before="120" w:after="120"/>
        <w:jc w:val="both"/>
        <w:rPr>
          <w:sz w:val="20"/>
          <w:szCs w:val="20"/>
          <w:lang w:val="en-GB"/>
        </w:rPr>
      </w:pPr>
      <w:r w:rsidRPr="00361E6E">
        <w:object w:dxaOrig="6093" w:dyaOrig="5066">
          <v:shape id="_x0000_i1026" type="#_x0000_t75" style="width:226.95pt;height:170.5pt" o:ole="" o:preferrelative="f">
            <v:imagedata r:id="rId13" o:title=""/>
            <o:lock v:ext="edit" aspectratio="f"/>
          </v:shape>
          <o:OLEObject Type="Embed" ProgID="Origin50.Graph" ShapeID="_x0000_i1026" DrawAspect="Content" ObjectID="_1622669531" r:id="rId14"/>
        </w:object>
      </w:r>
      <w:r w:rsidR="00A70119" w:rsidRPr="0032547A">
        <w:rPr>
          <w:b/>
          <w:bCs/>
          <w:sz w:val="20"/>
          <w:szCs w:val="20"/>
          <w:lang w:val="en-GB"/>
        </w:rPr>
        <w:t>Figure</w:t>
      </w:r>
      <w:r w:rsidR="00954D00" w:rsidRPr="0032547A">
        <w:rPr>
          <w:b/>
          <w:bCs/>
          <w:sz w:val="20"/>
          <w:szCs w:val="20"/>
          <w:lang w:val="en-GB"/>
        </w:rPr>
        <w:t xml:space="preserve"> </w:t>
      </w:r>
      <w:r w:rsidR="00CB134C" w:rsidRPr="0032547A">
        <w:rPr>
          <w:b/>
          <w:bCs/>
          <w:sz w:val="20"/>
          <w:szCs w:val="20"/>
          <w:lang w:val="en-GB"/>
        </w:rPr>
        <w:t>2</w:t>
      </w:r>
      <w:r w:rsidR="00954D00" w:rsidRPr="0032547A">
        <w:rPr>
          <w:b/>
          <w:bCs/>
          <w:sz w:val="20"/>
          <w:szCs w:val="20"/>
          <w:lang w:val="en-GB"/>
        </w:rPr>
        <w:t>.</w:t>
      </w:r>
      <w:r w:rsidR="00954D00" w:rsidRPr="00361E6E">
        <w:rPr>
          <w:sz w:val="20"/>
          <w:szCs w:val="20"/>
          <w:lang w:val="en-GB"/>
        </w:rPr>
        <w:t xml:space="preserve"> Granulometric distribution of the crude phosphate sample</w:t>
      </w:r>
      <w:r w:rsidR="00920EDC" w:rsidRPr="00361E6E">
        <w:rPr>
          <w:sz w:val="20"/>
          <w:szCs w:val="20"/>
          <w:lang w:val="en-GB"/>
        </w:rPr>
        <w:t>.</w:t>
      </w:r>
    </w:p>
    <w:p w:rsidR="00C70999" w:rsidRPr="00614D05" w:rsidRDefault="0018338F" w:rsidP="00C70999">
      <w:pPr>
        <w:jc w:val="both"/>
        <w:rPr>
          <w:color w:val="FF0000"/>
          <w:lang w:val="en-US"/>
        </w:rPr>
      </w:pPr>
      <w:r w:rsidRPr="00361E6E">
        <w:rPr>
          <w:lang w:val="en-GB"/>
        </w:rPr>
        <w:t>In laboratory, the phosphate of a representative sample undergoes a mechanical treatment (crushing, homogenisation and quartering) in order to reduce the coarse grains by using a hammer mill in successive operations carrying on the refusal of the mesh 500µm and a sifting of fine particles lower than 40µm. Thus, we recover only the powder of granulometry between 40µm and 500µm rich in phosphorus</w:t>
      </w:r>
      <w:r w:rsidR="00102028">
        <w:rPr>
          <w:lang w:val="en-GB"/>
        </w:rPr>
        <w:t xml:space="preserve"> [19]</w:t>
      </w:r>
      <w:r w:rsidRPr="00361E6E">
        <w:rPr>
          <w:lang w:val="en-GB"/>
        </w:rPr>
        <w:t>.</w:t>
      </w:r>
      <w:r w:rsidR="007B4086">
        <w:rPr>
          <w:lang w:val="en-GB"/>
        </w:rPr>
        <w:t xml:space="preserve"> </w:t>
      </w:r>
      <w:r w:rsidR="00C70999" w:rsidRPr="00614D05">
        <w:rPr>
          <w:color w:val="FF0000"/>
        </w:rPr>
        <w:t>The classification results are shown in figure 3.</w:t>
      </w:r>
    </w:p>
    <w:p w:rsidR="00C70999" w:rsidRPr="00614D05" w:rsidRDefault="00414319" w:rsidP="00D105B4">
      <w:pPr>
        <w:spacing w:before="120" w:after="120"/>
        <w:jc w:val="lowKashida"/>
        <w:rPr>
          <w:color w:val="FF0000"/>
          <w:sz w:val="20"/>
          <w:szCs w:val="20"/>
          <w:lang w:val="en-US"/>
        </w:rPr>
      </w:pPr>
      <w:r w:rsidRPr="00614D05">
        <w:rPr>
          <w:color w:val="FF0000"/>
        </w:rPr>
        <w:object w:dxaOrig="6794" w:dyaOrig="4923">
          <v:shape id="_x0000_i1027" type="#_x0000_t75" style="width:225.8pt;height:184.9pt" o:ole="" o:preferrelative="f">
            <v:imagedata r:id="rId15" o:title=""/>
            <o:lock v:ext="edit" aspectratio="f"/>
          </v:shape>
          <o:OLEObject Type="Embed" ProgID="Origin50.Graph" ShapeID="_x0000_i1027" DrawAspect="Content" ObjectID="_1622669532" r:id="rId16"/>
        </w:object>
      </w:r>
      <w:r w:rsidR="00C70999" w:rsidRPr="00614D05">
        <w:rPr>
          <w:color w:val="FF0000"/>
          <w:sz w:val="20"/>
          <w:szCs w:val="20"/>
          <w:lang w:val="en-US"/>
        </w:rPr>
        <w:t>Figure 3. Particale size by sievieng according to the classification</w:t>
      </w:r>
    </w:p>
    <w:p w:rsidR="00456D7D" w:rsidRPr="00361E6E" w:rsidRDefault="00AF31B9" w:rsidP="007D70C5">
      <w:pPr>
        <w:tabs>
          <w:tab w:val="left" w:pos="4320"/>
        </w:tabs>
        <w:autoSpaceDE w:val="0"/>
        <w:autoSpaceDN w:val="0"/>
        <w:adjustRightInd w:val="0"/>
        <w:spacing w:before="120" w:after="120"/>
        <w:jc w:val="both"/>
        <w:rPr>
          <w:b/>
          <w:bCs/>
          <w:lang w:val="en-US"/>
        </w:rPr>
      </w:pPr>
      <w:r>
        <w:rPr>
          <w:b/>
          <w:bCs/>
          <w:lang w:val="en-GB"/>
        </w:rPr>
        <w:t>2. 3. 2</w:t>
      </w:r>
      <w:r w:rsidR="00287510">
        <w:rPr>
          <w:b/>
          <w:bCs/>
          <w:lang w:val="en-GB"/>
        </w:rPr>
        <w:t xml:space="preserve">. </w:t>
      </w:r>
      <w:r w:rsidR="00456D7D" w:rsidRPr="00361E6E">
        <w:rPr>
          <w:b/>
          <w:bCs/>
          <w:lang w:val="en-GB"/>
        </w:rPr>
        <w:t>Chemical analysis</w:t>
      </w:r>
    </w:p>
    <w:p w:rsidR="00F85747" w:rsidRPr="00614D05" w:rsidRDefault="0018338F" w:rsidP="008D31AB">
      <w:pPr>
        <w:widowControl w:val="0"/>
        <w:tabs>
          <w:tab w:val="left" w:pos="4320"/>
        </w:tabs>
        <w:autoSpaceDE w:val="0"/>
        <w:autoSpaceDN w:val="0"/>
        <w:adjustRightInd w:val="0"/>
        <w:spacing w:before="240"/>
        <w:ind w:firstLine="284"/>
        <w:jc w:val="both"/>
        <w:rPr>
          <w:color w:val="FF0000"/>
          <w:lang w:val="en-GB"/>
        </w:rPr>
      </w:pPr>
      <w:r w:rsidRPr="00614D05">
        <w:rPr>
          <w:color w:val="FF0000"/>
          <w:lang w:val="en-GB"/>
        </w:rPr>
        <w:t xml:space="preserve">The chemical composition of the crude sample was determined by </w:t>
      </w:r>
      <w:r w:rsidR="00072DE2" w:rsidRPr="00614D05">
        <w:rPr>
          <w:color w:val="FF0000"/>
          <w:lang w:val="en-GB"/>
        </w:rPr>
        <w:t>ICP</w:t>
      </w:r>
      <w:r w:rsidR="001520B9" w:rsidRPr="00614D05">
        <w:rPr>
          <w:color w:val="FF0000"/>
          <w:lang w:val="en-GB"/>
        </w:rPr>
        <w:t xml:space="preserve"> and</w:t>
      </w:r>
      <w:r w:rsidR="008D31AB" w:rsidRPr="00614D05">
        <w:rPr>
          <w:color w:val="FF0000"/>
          <w:lang w:val="en-GB"/>
        </w:rPr>
        <w:t xml:space="preserve"> </w:t>
      </w:r>
      <w:r w:rsidR="008D31AB" w:rsidRPr="00614D05">
        <w:rPr>
          <w:color w:val="FF0000"/>
          <w:lang w:val="en-US"/>
        </w:rPr>
        <w:t>volumetric chemical analysis (grouped in Tables 1 and 2)</w:t>
      </w:r>
      <w:r w:rsidRPr="00614D05">
        <w:rPr>
          <w:color w:val="FF0000"/>
          <w:lang w:val="en-GB"/>
        </w:rPr>
        <w:t>. We were interested in the following elements C</w:t>
      </w:r>
      <w:r w:rsidRPr="00614D05">
        <w:rPr>
          <w:color w:val="FF0000"/>
          <w:vertAlign w:val="subscript"/>
          <w:lang w:val="en-GB"/>
        </w:rPr>
        <w:t>org</w:t>
      </w:r>
      <w:r w:rsidRPr="00614D05">
        <w:rPr>
          <w:color w:val="FF0000"/>
          <w:lang w:val="en-GB"/>
        </w:rPr>
        <w:t>, CO</w:t>
      </w:r>
      <w:r w:rsidRPr="00614D05">
        <w:rPr>
          <w:color w:val="FF0000"/>
          <w:vertAlign w:val="subscript"/>
          <w:lang w:val="en-GB"/>
        </w:rPr>
        <w:t>2</w:t>
      </w:r>
      <w:r w:rsidRPr="00614D05">
        <w:rPr>
          <w:color w:val="FF0000"/>
          <w:lang w:val="en-GB"/>
        </w:rPr>
        <w:t>, P</w:t>
      </w:r>
      <w:r w:rsidRPr="00614D05">
        <w:rPr>
          <w:color w:val="FF0000"/>
          <w:vertAlign w:val="subscript"/>
          <w:lang w:val="en-GB"/>
        </w:rPr>
        <w:t>2</w:t>
      </w:r>
      <w:r w:rsidRPr="00614D05">
        <w:rPr>
          <w:color w:val="FF0000"/>
          <w:lang w:val="en-GB"/>
        </w:rPr>
        <w:t>O</w:t>
      </w:r>
      <w:r w:rsidRPr="00614D05">
        <w:rPr>
          <w:color w:val="FF0000"/>
          <w:vertAlign w:val="subscript"/>
          <w:lang w:val="en-GB"/>
        </w:rPr>
        <w:t>5</w:t>
      </w:r>
      <w:r w:rsidR="008D31AB" w:rsidRPr="00614D05">
        <w:rPr>
          <w:color w:val="FF0000"/>
          <w:lang w:val="en-GB"/>
        </w:rPr>
        <w:t xml:space="preserve"> and CaO</w:t>
      </w:r>
      <w:r w:rsidRPr="00614D05">
        <w:rPr>
          <w:color w:val="FF0000"/>
          <w:lang w:val="en-GB"/>
        </w:rPr>
        <w:t>.</w:t>
      </w:r>
    </w:p>
    <w:p w:rsidR="006C725F" w:rsidRPr="00614D05" w:rsidRDefault="007D70C5" w:rsidP="00EA60E3">
      <w:pPr>
        <w:spacing w:before="120" w:after="120"/>
        <w:jc w:val="both"/>
        <w:rPr>
          <w:color w:val="FF0000"/>
          <w:lang w:val="en-US"/>
        </w:rPr>
      </w:pPr>
      <w:r w:rsidRPr="00614D05">
        <w:rPr>
          <w:b/>
          <w:bCs/>
          <w:color w:val="FF0000"/>
          <w:sz w:val="20"/>
          <w:szCs w:val="20"/>
          <w:lang w:val="en-GB"/>
        </w:rPr>
        <w:t>Table 1.</w:t>
      </w:r>
      <w:r w:rsidRPr="00614D05">
        <w:rPr>
          <w:color w:val="FF0000"/>
          <w:sz w:val="20"/>
          <w:szCs w:val="20"/>
          <w:lang w:val="en-GB"/>
        </w:rPr>
        <w:t xml:space="preserve"> chemical composition of the Bouchane phosphate before the calcination</w:t>
      </w:r>
      <w:r w:rsidR="001520B9" w:rsidRPr="00614D05">
        <w:rPr>
          <w:color w:val="FF0000"/>
          <w:sz w:val="20"/>
          <w:szCs w:val="20"/>
          <w:lang w:val="en-GB"/>
        </w:rPr>
        <w:t xml:space="preserve"> </w:t>
      </w:r>
      <w:r w:rsidR="009A400D" w:rsidRPr="00614D05">
        <w:rPr>
          <w:color w:val="FF0000"/>
          <w:sz w:val="20"/>
          <w:szCs w:val="20"/>
          <w:lang w:val="en-GB"/>
        </w:rPr>
        <w:t xml:space="preserve">by </w:t>
      </w:r>
      <w:r w:rsidR="001520B9" w:rsidRPr="00614D05">
        <w:rPr>
          <w:color w:val="FF0000"/>
          <w:sz w:val="20"/>
          <w:szCs w:val="20"/>
          <w:lang w:val="en-US"/>
        </w:rPr>
        <w:t>volumetric chemical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tblGrid>
      <w:tr w:rsidR="00BC1651" w:rsidRPr="00A465E2" w:rsidTr="00A465E2">
        <w:trPr>
          <w:jc w:val="center"/>
        </w:trPr>
        <w:tc>
          <w:tcPr>
            <w:tcW w:w="1188" w:type="dxa"/>
            <w:shd w:val="clear" w:color="auto" w:fill="auto"/>
          </w:tcPr>
          <w:p w:rsidR="00BC1651" w:rsidRPr="00A465E2" w:rsidRDefault="00BC1651" w:rsidP="00A465E2">
            <w:pPr>
              <w:jc w:val="center"/>
              <w:rPr>
                <w:rFonts w:hint="cs"/>
                <w:color w:val="FF0000"/>
                <w:sz w:val="20"/>
                <w:szCs w:val="20"/>
                <w:lang w:bidi="ar-MA"/>
              </w:rPr>
            </w:pPr>
            <w:r w:rsidRPr="00A465E2">
              <w:rPr>
                <w:bCs/>
                <w:color w:val="FF0000"/>
                <w:sz w:val="20"/>
                <w:szCs w:val="20"/>
              </w:rPr>
              <w:t>Elements</w:t>
            </w:r>
          </w:p>
        </w:tc>
        <w:tc>
          <w:tcPr>
            <w:tcW w:w="1440" w:type="dxa"/>
            <w:shd w:val="clear" w:color="auto" w:fill="auto"/>
          </w:tcPr>
          <w:p w:rsidR="00BC1651" w:rsidRPr="00A465E2" w:rsidRDefault="00BC1651" w:rsidP="00A465E2">
            <w:pPr>
              <w:jc w:val="center"/>
              <w:rPr>
                <w:rFonts w:hint="cs"/>
                <w:color w:val="FF0000"/>
                <w:sz w:val="20"/>
                <w:szCs w:val="20"/>
                <w:lang w:bidi="ar-MA"/>
              </w:rPr>
            </w:pPr>
            <w:r w:rsidRPr="00A465E2">
              <w:rPr>
                <w:bCs/>
                <w:color w:val="FF0000"/>
                <w:sz w:val="20"/>
                <w:szCs w:val="20"/>
              </w:rPr>
              <w:t>Weight (%)</w:t>
            </w:r>
          </w:p>
        </w:tc>
      </w:tr>
      <w:tr w:rsidR="00BC1651" w:rsidRPr="00A465E2" w:rsidTr="00A465E2">
        <w:trPr>
          <w:jc w:val="center"/>
        </w:trPr>
        <w:tc>
          <w:tcPr>
            <w:tcW w:w="1188"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P</w:t>
            </w:r>
            <w:r w:rsidRPr="00A465E2">
              <w:rPr>
                <w:color w:val="FF0000"/>
                <w:sz w:val="20"/>
                <w:szCs w:val="20"/>
                <w:vertAlign w:val="subscript"/>
              </w:rPr>
              <w:t>2</w:t>
            </w:r>
            <w:r w:rsidRPr="00A465E2">
              <w:rPr>
                <w:color w:val="FF0000"/>
                <w:sz w:val="20"/>
                <w:szCs w:val="20"/>
              </w:rPr>
              <w:t>O</w:t>
            </w:r>
            <w:r w:rsidRPr="00A465E2">
              <w:rPr>
                <w:color w:val="FF0000"/>
                <w:sz w:val="20"/>
                <w:szCs w:val="20"/>
                <w:vertAlign w:val="subscript"/>
              </w:rPr>
              <w:t>5</w:t>
            </w:r>
          </w:p>
        </w:tc>
        <w:tc>
          <w:tcPr>
            <w:tcW w:w="1440"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30.39</w:t>
            </w:r>
          </w:p>
        </w:tc>
      </w:tr>
      <w:tr w:rsidR="00BC1651" w:rsidRPr="00A465E2" w:rsidTr="00A465E2">
        <w:trPr>
          <w:jc w:val="center"/>
        </w:trPr>
        <w:tc>
          <w:tcPr>
            <w:tcW w:w="1188"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CaO</w:t>
            </w:r>
          </w:p>
        </w:tc>
        <w:tc>
          <w:tcPr>
            <w:tcW w:w="1440"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48.20</w:t>
            </w:r>
          </w:p>
        </w:tc>
      </w:tr>
      <w:tr w:rsidR="00BC1651" w:rsidRPr="00A465E2" w:rsidTr="00A465E2">
        <w:trPr>
          <w:jc w:val="center"/>
        </w:trPr>
        <w:tc>
          <w:tcPr>
            <w:tcW w:w="1188"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H</w:t>
            </w:r>
            <w:r w:rsidRPr="00A465E2">
              <w:rPr>
                <w:color w:val="FF0000"/>
                <w:sz w:val="20"/>
                <w:szCs w:val="20"/>
                <w:vertAlign w:val="subscript"/>
              </w:rPr>
              <w:t>2</w:t>
            </w:r>
            <w:r w:rsidRPr="00A465E2">
              <w:rPr>
                <w:color w:val="FF0000"/>
                <w:sz w:val="20"/>
                <w:szCs w:val="20"/>
              </w:rPr>
              <w:t>O</w:t>
            </w:r>
          </w:p>
        </w:tc>
        <w:tc>
          <w:tcPr>
            <w:tcW w:w="1440"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5.6</w:t>
            </w:r>
          </w:p>
        </w:tc>
      </w:tr>
      <w:tr w:rsidR="00BC1651" w:rsidRPr="00A465E2" w:rsidTr="00A465E2">
        <w:trPr>
          <w:jc w:val="center"/>
        </w:trPr>
        <w:tc>
          <w:tcPr>
            <w:tcW w:w="1188"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C</w:t>
            </w:r>
            <w:r w:rsidRPr="00A465E2">
              <w:rPr>
                <w:color w:val="FF0000"/>
                <w:sz w:val="20"/>
                <w:szCs w:val="20"/>
                <w:vertAlign w:val="subscript"/>
              </w:rPr>
              <w:t>org</w:t>
            </w:r>
          </w:p>
        </w:tc>
        <w:tc>
          <w:tcPr>
            <w:tcW w:w="1440"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1.4</w:t>
            </w:r>
          </w:p>
        </w:tc>
      </w:tr>
      <w:tr w:rsidR="00BC1651" w:rsidRPr="00A465E2" w:rsidTr="00A465E2">
        <w:trPr>
          <w:jc w:val="center"/>
        </w:trPr>
        <w:tc>
          <w:tcPr>
            <w:tcW w:w="1188"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CO</w:t>
            </w:r>
            <w:r w:rsidRPr="00A465E2">
              <w:rPr>
                <w:color w:val="FF0000"/>
                <w:sz w:val="20"/>
                <w:szCs w:val="20"/>
                <w:vertAlign w:val="subscript"/>
              </w:rPr>
              <w:t>2</w:t>
            </w:r>
          </w:p>
        </w:tc>
        <w:tc>
          <w:tcPr>
            <w:tcW w:w="1440"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6.60</w:t>
            </w:r>
          </w:p>
        </w:tc>
      </w:tr>
      <w:tr w:rsidR="00BC1651" w:rsidRPr="00A465E2" w:rsidTr="00A465E2">
        <w:trPr>
          <w:jc w:val="center"/>
        </w:trPr>
        <w:tc>
          <w:tcPr>
            <w:tcW w:w="1188"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Others</w:t>
            </w:r>
          </w:p>
        </w:tc>
        <w:tc>
          <w:tcPr>
            <w:tcW w:w="1440" w:type="dxa"/>
            <w:shd w:val="clear" w:color="auto" w:fill="auto"/>
          </w:tcPr>
          <w:p w:rsidR="00BC1651" w:rsidRPr="00A465E2" w:rsidRDefault="00BC1651" w:rsidP="00A465E2">
            <w:pPr>
              <w:jc w:val="center"/>
              <w:rPr>
                <w:rFonts w:hint="cs"/>
                <w:color w:val="FF0000"/>
                <w:sz w:val="20"/>
                <w:szCs w:val="20"/>
                <w:lang w:bidi="ar-MA"/>
              </w:rPr>
            </w:pPr>
            <w:r w:rsidRPr="00A465E2">
              <w:rPr>
                <w:color w:val="FF0000"/>
                <w:sz w:val="20"/>
                <w:szCs w:val="20"/>
              </w:rPr>
              <w:t>7.81</w:t>
            </w:r>
          </w:p>
        </w:tc>
      </w:tr>
    </w:tbl>
    <w:p w:rsidR="008D31AB" w:rsidRPr="00614D05" w:rsidRDefault="008D31AB" w:rsidP="00EA60E3">
      <w:pPr>
        <w:spacing w:before="120" w:after="120"/>
        <w:jc w:val="lowKashida"/>
        <w:rPr>
          <w:color w:val="FF0000"/>
          <w:sz w:val="20"/>
          <w:szCs w:val="20"/>
          <w:lang w:val="en-GB"/>
        </w:rPr>
      </w:pPr>
      <w:r w:rsidRPr="00614D05">
        <w:rPr>
          <w:b/>
          <w:bCs/>
          <w:color w:val="FF0000"/>
          <w:sz w:val="20"/>
          <w:szCs w:val="20"/>
          <w:lang w:val="en-GB"/>
        </w:rPr>
        <w:t>Table 2.</w:t>
      </w:r>
      <w:r w:rsidRPr="00614D05">
        <w:rPr>
          <w:color w:val="FF0000"/>
          <w:sz w:val="20"/>
          <w:szCs w:val="20"/>
          <w:lang w:val="en-GB"/>
        </w:rPr>
        <w:t xml:space="preserve"> chemical composition of the Bouchane phosphate before the calcination</w:t>
      </w:r>
      <w:r w:rsidR="001520B9" w:rsidRPr="00614D05">
        <w:rPr>
          <w:color w:val="FF0000"/>
          <w:sz w:val="20"/>
          <w:szCs w:val="20"/>
          <w:lang w:val="en-GB"/>
        </w:rPr>
        <w:t xml:space="preserve"> by ICP</w:t>
      </w:r>
    </w:p>
    <w:tbl>
      <w:tblPr>
        <w:tblpPr w:leftFromText="141" w:rightFromText="141" w:vertAnchor="text" w:horzAnchor="margin" w:tblpY="18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48"/>
        <w:gridCol w:w="1800"/>
      </w:tblGrid>
      <w:tr w:rsidR="00122423" w:rsidRPr="006A79A2">
        <w:trPr>
          <w:trHeight w:val="337"/>
        </w:trPr>
        <w:tc>
          <w:tcPr>
            <w:tcW w:w="2448" w:type="dxa"/>
          </w:tcPr>
          <w:p w:rsidR="00122423" w:rsidRPr="006A79A2" w:rsidRDefault="00122423" w:rsidP="006A79A2">
            <w:pPr>
              <w:ind w:left="-108"/>
              <w:jc w:val="center"/>
              <w:rPr>
                <w:sz w:val="20"/>
                <w:szCs w:val="20"/>
              </w:rPr>
            </w:pPr>
            <w:r w:rsidRPr="006A79A2">
              <w:rPr>
                <w:sz w:val="20"/>
                <w:szCs w:val="20"/>
                <w:lang w:val="en-GB"/>
              </w:rPr>
              <w:t>chemicals compositions</w:t>
            </w:r>
          </w:p>
        </w:tc>
        <w:tc>
          <w:tcPr>
            <w:tcW w:w="1800" w:type="dxa"/>
          </w:tcPr>
          <w:p w:rsidR="00122423" w:rsidRPr="006A79A2" w:rsidRDefault="00414319" w:rsidP="006A79A2">
            <w:pPr>
              <w:ind w:left="-108"/>
              <w:jc w:val="center"/>
              <w:rPr>
                <w:sz w:val="20"/>
                <w:szCs w:val="20"/>
              </w:rPr>
            </w:pPr>
            <w:r>
              <w:rPr>
                <w:sz w:val="20"/>
                <w:szCs w:val="20"/>
              </w:rPr>
              <w:t>Phosphate rock</w:t>
            </w:r>
            <w:r w:rsidR="00122423" w:rsidRPr="006A79A2">
              <w:rPr>
                <w:sz w:val="20"/>
                <w:szCs w:val="20"/>
              </w:rPr>
              <w:t xml:space="preserve"> (%)</w:t>
            </w:r>
          </w:p>
        </w:tc>
      </w:tr>
      <w:tr w:rsidR="006A79A2" w:rsidRPr="006A79A2">
        <w:trPr>
          <w:trHeight w:val="239"/>
        </w:trPr>
        <w:tc>
          <w:tcPr>
            <w:tcW w:w="2448" w:type="dxa"/>
          </w:tcPr>
          <w:p w:rsidR="006A79A2" w:rsidRPr="006A79A2" w:rsidRDefault="006A79A2" w:rsidP="006A79A2">
            <w:pPr>
              <w:jc w:val="center"/>
              <w:rPr>
                <w:sz w:val="20"/>
                <w:szCs w:val="20"/>
                <w:vertAlign w:val="subscript"/>
              </w:rPr>
            </w:pPr>
            <w:r w:rsidRPr="006A79A2">
              <w:rPr>
                <w:sz w:val="20"/>
                <w:szCs w:val="20"/>
              </w:rPr>
              <w:t>P</w:t>
            </w:r>
            <w:r w:rsidRPr="006A79A2">
              <w:rPr>
                <w:sz w:val="20"/>
                <w:szCs w:val="20"/>
                <w:vertAlign w:val="subscript"/>
              </w:rPr>
              <w:t>2</w:t>
            </w:r>
            <w:r w:rsidRPr="006A79A2">
              <w:rPr>
                <w:sz w:val="20"/>
                <w:szCs w:val="20"/>
              </w:rPr>
              <w:t>O</w:t>
            </w:r>
            <w:r w:rsidRPr="006A79A2">
              <w:rPr>
                <w:sz w:val="20"/>
                <w:szCs w:val="20"/>
                <w:vertAlign w:val="subscript"/>
              </w:rPr>
              <w:t>5</w:t>
            </w:r>
          </w:p>
        </w:tc>
        <w:tc>
          <w:tcPr>
            <w:tcW w:w="1800" w:type="dxa"/>
          </w:tcPr>
          <w:p w:rsidR="006A79A2" w:rsidRPr="006A79A2" w:rsidRDefault="006A79A2" w:rsidP="006A79A2">
            <w:pPr>
              <w:jc w:val="center"/>
              <w:rPr>
                <w:sz w:val="20"/>
                <w:szCs w:val="20"/>
              </w:rPr>
            </w:pPr>
            <w:r w:rsidRPr="006A79A2">
              <w:rPr>
                <w:sz w:val="20"/>
                <w:szCs w:val="20"/>
              </w:rPr>
              <w:t>31.10</w:t>
            </w:r>
          </w:p>
        </w:tc>
      </w:tr>
      <w:tr w:rsidR="006A79A2" w:rsidRPr="006A79A2">
        <w:trPr>
          <w:trHeight w:val="239"/>
        </w:trPr>
        <w:tc>
          <w:tcPr>
            <w:tcW w:w="2448" w:type="dxa"/>
          </w:tcPr>
          <w:p w:rsidR="006A79A2" w:rsidRPr="006A79A2" w:rsidRDefault="006A79A2" w:rsidP="006A79A2">
            <w:pPr>
              <w:jc w:val="center"/>
              <w:rPr>
                <w:sz w:val="20"/>
                <w:szCs w:val="20"/>
                <w:vertAlign w:val="subscript"/>
              </w:rPr>
            </w:pPr>
            <w:r w:rsidRPr="006A79A2">
              <w:rPr>
                <w:sz w:val="20"/>
                <w:szCs w:val="20"/>
              </w:rPr>
              <w:t>CO</w:t>
            </w:r>
            <w:r w:rsidRPr="006A79A2">
              <w:rPr>
                <w:sz w:val="20"/>
                <w:szCs w:val="20"/>
                <w:vertAlign w:val="subscript"/>
              </w:rPr>
              <w:t>2</w:t>
            </w:r>
          </w:p>
        </w:tc>
        <w:tc>
          <w:tcPr>
            <w:tcW w:w="1800" w:type="dxa"/>
          </w:tcPr>
          <w:p w:rsidR="006A79A2" w:rsidRPr="006A79A2" w:rsidRDefault="006A79A2" w:rsidP="006A79A2">
            <w:pPr>
              <w:jc w:val="center"/>
              <w:rPr>
                <w:sz w:val="20"/>
                <w:szCs w:val="20"/>
              </w:rPr>
            </w:pPr>
            <w:r w:rsidRPr="006A79A2">
              <w:rPr>
                <w:sz w:val="20"/>
                <w:szCs w:val="20"/>
              </w:rPr>
              <w:t>6.5</w:t>
            </w:r>
          </w:p>
        </w:tc>
      </w:tr>
      <w:tr w:rsidR="006A79A2" w:rsidRPr="006A79A2">
        <w:trPr>
          <w:trHeight w:val="254"/>
        </w:trPr>
        <w:tc>
          <w:tcPr>
            <w:tcW w:w="2448" w:type="dxa"/>
          </w:tcPr>
          <w:p w:rsidR="006A79A2" w:rsidRPr="006A79A2" w:rsidRDefault="006A79A2" w:rsidP="006A79A2">
            <w:pPr>
              <w:jc w:val="center"/>
              <w:rPr>
                <w:sz w:val="20"/>
                <w:szCs w:val="20"/>
              </w:rPr>
            </w:pPr>
            <w:r w:rsidRPr="006A79A2">
              <w:rPr>
                <w:sz w:val="20"/>
                <w:szCs w:val="20"/>
              </w:rPr>
              <w:t>CaO</w:t>
            </w:r>
          </w:p>
        </w:tc>
        <w:tc>
          <w:tcPr>
            <w:tcW w:w="1800" w:type="dxa"/>
          </w:tcPr>
          <w:p w:rsidR="006A79A2" w:rsidRPr="006A79A2" w:rsidRDefault="006A79A2" w:rsidP="006A79A2">
            <w:pPr>
              <w:jc w:val="center"/>
              <w:rPr>
                <w:sz w:val="20"/>
                <w:szCs w:val="20"/>
              </w:rPr>
            </w:pPr>
            <w:r w:rsidRPr="006A79A2">
              <w:rPr>
                <w:sz w:val="20"/>
                <w:szCs w:val="20"/>
              </w:rPr>
              <w:t>49.1</w:t>
            </w:r>
          </w:p>
        </w:tc>
      </w:tr>
      <w:tr w:rsidR="006A79A2" w:rsidRPr="006A79A2">
        <w:trPr>
          <w:trHeight w:val="239"/>
        </w:trPr>
        <w:tc>
          <w:tcPr>
            <w:tcW w:w="2448" w:type="dxa"/>
          </w:tcPr>
          <w:p w:rsidR="006A79A2" w:rsidRPr="006A79A2" w:rsidRDefault="006A79A2" w:rsidP="006A79A2">
            <w:pPr>
              <w:jc w:val="center"/>
              <w:rPr>
                <w:sz w:val="20"/>
                <w:szCs w:val="20"/>
                <w:vertAlign w:val="superscript"/>
              </w:rPr>
            </w:pPr>
            <w:r w:rsidRPr="006A79A2">
              <w:rPr>
                <w:sz w:val="20"/>
                <w:szCs w:val="20"/>
              </w:rPr>
              <w:t>F</w:t>
            </w:r>
            <w:r w:rsidRPr="006A79A2">
              <w:rPr>
                <w:sz w:val="20"/>
                <w:szCs w:val="20"/>
                <w:vertAlign w:val="superscript"/>
              </w:rPr>
              <w:t>-</w:t>
            </w:r>
          </w:p>
        </w:tc>
        <w:tc>
          <w:tcPr>
            <w:tcW w:w="1800" w:type="dxa"/>
          </w:tcPr>
          <w:p w:rsidR="006A79A2" w:rsidRPr="006A79A2" w:rsidRDefault="006A79A2" w:rsidP="006A79A2">
            <w:pPr>
              <w:jc w:val="center"/>
              <w:rPr>
                <w:sz w:val="20"/>
                <w:szCs w:val="20"/>
              </w:rPr>
            </w:pPr>
            <w:r w:rsidRPr="006A79A2">
              <w:rPr>
                <w:sz w:val="20"/>
                <w:szCs w:val="20"/>
              </w:rPr>
              <w:t>3.5</w:t>
            </w:r>
          </w:p>
        </w:tc>
      </w:tr>
      <w:tr w:rsidR="006A79A2" w:rsidRPr="006A79A2">
        <w:trPr>
          <w:trHeight w:val="239"/>
        </w:trPr>
        <w:tc>
          <w:tcPr>
            <w:tcW w:w="2448" w:type="dxa"/>
          </w:tcPr>
          <w:p w:rsidR="006A79A2" w:rsidRPr="006A79A2" w:rsidRDefault="006A79A2" w:rsidP="006A79A2">
            <w:pPr>
              <w:jc w:val="center"/>
              <w:rPr>
                <w:sz w:val="20"/>
                <w:szCs w:val="20"/>
                <w:vertAlign w:val="subscript"/>
              </w:rPr>
            </w:pPr>
            <w:r w:rsidRPr="006A79A2">
              <w:rPr>
                <w:sz w:val="20"/>
                <w:szCs w:val="20"/>
              </w:rPr>
              <w:t>SiO</w:t>
            </w:r>
            <w:r w:rsidRPr="006A79A2">
              <w:rPr>
                <w:sz w:val="20"/>
                <w:szCs w:val="20"/>
                <w:vertAlign w:val="subscript"/>
              </w:rPr>
              <w:t>2</w:t>
            </w:r>
          </w:p>
        </w:tc>
        <w:tc>
          <w:tcPr>
            <w:tcW w:w="1800" w:type="dxa"/>
          </w:tcPr>
          <w:p w:rsidR="006A79A2" w:rsidRPr="006A79A2" w:rsidRDefault="006A79A2" w:rsidP="006A79A2">
            <w:pPr>
              <w:jc w:val="center"/>
              <w:rPr>
                <w:sz w:val="20"/>
                <w:szCs w:val="20"/>
              </w:rPr>
            </w:pPr>
            <w:r w:rsidRPr="006A79A2">
              <w:rPr>
                <w:sz w:val="20"/>
                <w:szCs w:val="20"/>
              </w:rPr>
              <w:t>1.38</w:t>
            </w:r>
          </w:p>
        </w:tc>
      </w:tr>
      <w:tr w:rsidR="006A79A2" w:rsidRPr="006A79A2">
        <w:trPr>
          <w:trHeight w:val="254"/>
        </w:trPr>
        <w:tc>
          <w:tcPr>
            <w:tcW w:w="2448" w:type="dxa"/>
          </w:tcPr>
          <w:p w:rsidR="006A79A2" w:rsidRPr="006A79A2" w:rsidRDefault="006A79A2" w:rsidP="006A79A2">
            <w:pPr>
              <w:jc w:val="center"/>
              <w:rPr>
                <w:sz w:val="20"/>
                <w:szCs w:val="20"/>
              </w:rPr>
            </w:pPr>
            <w:r w:rsidRPr="006A79A2">
              <w:rPr>
                <w:sz w:val="20"/>
                <w:szCs w:val="20"/>
              </w:rPr>
              <w:t>H</w:t>
            </w:r>
            <w:r w:rsidRPr="006A79A2">
              <w:rPr>
                <w:sz w:val="20"/>
                <w:szCs w:val="20"/>
                <w:vertAlign w:val="subscript"/>
              </w:rPr>
              <w:t>2</w:t>
            </w:r>
            <w:r w:rsidRPr="006A79A2">
              <w:rPr>
                <w:sz w:val="20"/>
                <w:szCs w:val="20"/>
              </w:rPr>
              <w:t>O</w:t>
            </w:r>
          </w:p>
        </w:tc>
        <w:tc>
          <w:tcPr>
            <w:tcW w:w="1800" w:type="dxa"/>
          </w:tcPr>
          <w:p w:rsidR="006A79A2" w:rsidRPr="006A79A2" w:rsidRDefault="006A79A2" w:rsidP="006A79A2">
            <w:pPr>
              <w:jc w:val="center"/>
              <w:rPr>
                <w:sz w:val="20"/>
                <w:szCs w:val="20"/>
                <w:lang w:val="en-GB"/>
              </w:rPr>
            </w:pPr>
            <w:r w:rsidRPr="006A79A2">
              <w:rPr>
                <w:sz w:val="20"/>
                <w:szCs w:val="20"/>
                <w:lang w:val="en-GB"/>
              </w:rPr>
              <w:t>5.15</w:t>
            </w:r>
          </w:p>
        </w:tc>
      </w:tr>
      <w:tr w:rsidR="006A79A2" w:rsidRPr="006A79A2">
        <w:trPr>
          <w:trHeight w:val="239"/>
        </w:trPr>
        <w:tc>
          <w:tcPr>
            <w:tcW w:w="2448" w:type="dxa"/>
          </w:tcPr>
          <w:p w:rsidR="006A79A2" w:rsidRPr="006A79A2" w:rsidRDefault="006A79A2" w:rsidP="006A79A2">
            <w:pPr>
              <w:jc w:val="center"/>
              <w:rPr>
                <w:sz w:val="20"/>
                <w:szCs w:val="20"/>
                <w:vertAlign w:val="subscript"/>
              </w:rPr>
            </w:pPr>
            <w:r w:rsidRPr="006A79A2">
              <w:rPr>
                <w:sz w:val="20"/>
                <w:szCs w:val="20"/>
              </w:rPr>
              <w:t>Al</w:t>
            </w:r>
            <w:r w:rsidRPr="006A79A2">
              <w:rPr>
                <w:sz w:val="20"/>
                <w:szCs w:val="20"/>
                <w:vertAlign w:val="subscript"/>
              </w:rPr>
              <w:t>2</w:t>
            </w:r>
            <w:r w:rsidRPr="006A79A2">
              <w:rPr>
                <w:sz w:val="20"/>
                <w:szCs w:val="20"/>
              </w:rPr>
              <w:t>O</w:t>
            </w:r>
            <w:r w:rsidRPr="006A79A2">
              <w:rPr>
                <w:sz w:val="20"/>
                <w:szCs w:val="20"/>
                <w:vertAlign w:val="subscript"/>
              </w:rPr>
              <w:t>3</w:t>
            </w:r>
          </w:p>
        </w:tc>
        <w:tc>
          <w:tcPr>
            <w:tcW w:w="1800" w:type="dxa"/>
          </w:tcPr>
          <w:p w:rsidR="006A79A2" w:rsidRPr="006A79A2" w:rsidRDefault="006A79A2" w:rsidP="006A79A2">
            <w:pPr>
              <w:jc w:val="center"/>
              <w:rPr>
                <w:sz w:val="20"/>
                <w:szCs w:val="20"/>
                <w:lang w:val="en-GB"/>
              </w:rPr>
            </w:pPr>
            <w:r w:rsidRPr="006A79A2">
              <w:rPr>
                <w:sz w:val="20"/>
                <w:szCs w:val="20"/>
                <w:lang w:val="en-GB"/>
              </w:rPr>
              <w:t>0.42</w:t>
            </w:r>
          </w:p>
        </w:tc>
      </w:tr>
      <w:tr w:rsidR="006A79A2" w:rsidRPr="006A79A2">
        <w:trPr>
          <w:trHeight w:val="239"/>
        </w:trPr>
        <w:tc>
          <w:tcPr>
            <w:tcW w:w="2448" w:type="dxa"/>
          </w:tcPr>
          <w:p w:rsidR="006A79A2" w:rsidRPr="006A79A2" w:rsidRDefault="006A79A2" w:rsidP="006A79A2">
            <w:pPr>
              <w:jc w:val="center"/>
              <w:rPr>
                <w:sz w:val="20"/>
                <w:szCs w:val="20"/>
                <w:lang w:val="en-GB"/>
              </w:rPr>
            </w:pPr>
            <w:r w:rsidRPr="006A79A2">
              <w:rPr>
                <w:sz w:val="20"/>
                <w:szCs w:val="20"/>
                <w:lang w:val="en-GB"/>
              </w:rPr>
              <w:t>K</w:t>
            </w:r>
            <w:r w:rsidRPr="006A79A2">
              <w:rPr>
                <w:sz w:val="20"/>
                <w:szCs w:val="20"/>
                <w:vertAlign w:val="subscript"/>
                <w:lang w:val="en-GB"/>
              </w:rPr>
              <w:t>2</w:t>
            </w:r>
            <w:r w:rsidRPr="006A79A2">
              <w:rPr>
                <w:sz w:val="20"/>
                <w:szCs w:val="20"/>
                <w:lang w:val="en-GB"/>
              </w:rPr>
              <w:t>O</w:t>
            </w:r>
          </w:p>
        </w:tc>
        <w:tc>
          <w:tcPr>
            <w:tcW w:w="1800" w:type="dxa"/>
          </w:tcPr>
          <w:p w:rsidR="006A79A2" w:rsidRPr="006A79A2" w:rsidRDefault="006A79A2" w:rsidP="006A79A2">
            <w:pPr>
              <w:jc w:val="center"/>
              <w:rPr>
                <w:sz w:val="20"/>
                <w:szCs w:val="20"/>
                <w:lang w:val="en-GB"/>
              </w:rPr>
            </w:pPr>
            <w:r w:rsidRPr="006A79A2">
              <w:rPr>
                <w:sz w:val="20"/>
                <w:szCs w:val="20"/>
                <w:lang w:val="en-GB"/>
              </w:rPr>
              <w:t>0.07</w:t>
            </w:r>
          </w:p>
        </w:tc>
      </w:tr>
      <w:tr w:rsidR="006A79A2" w:rsidRPr="006A79A2">
        <w:trPr>
          <w:trHeight w:val="254"/>
        </w:trPr>
        <w:tc>
          <w:tcPr>
            <w:tcW w:w="2448" w:type="dxa"/>
          </w:tcPr>
          <w:p w:rsidR="006A79A2" w:rsidRPr="006A79A2" w:rsidRDefault="006A79A2" w:rsidP="006A79A2">
            <w:pPr>
              <w:jc w:val="center"/>
              <w:rPr>
                <w:sz w:val="20"/>
                <w:szCs w:val="20"/>
                <w:lang w:val="en-GB"/>
              </w:rPr>
            </w:pPr>
            <w:r w:rsidRPr="006A79A2">
              <w:rPr>
                <w:sz w:val="20"/>
                <w:szCs w:val="20"/>
                <w:lang w:val="en-GB"/>
              </w:rPr>
              <w:t>MgO</w:t>
            </w:r>
          </w:p>
        </w:tc>
        <w:tc>
          <w:tcPr>
            <w:tcW w:w="1800" w:type="dxa"/>
          </w:tcPr>
          <w:p w:rsidR="006A79A2" w:rsidRPr="006A79A2" w:rsidRDefault="006A79A2" w:rsidP="006A79A2">
            <w:pPr>
              <w:jc w:val="center"/>
              <w:rPr>
                <w:sz w:val="20"/>
                <w:szCs w:val="20"/>
                <w:lang w:val="en-GB"/>
              </w:rPr>
            </w:pPr>
            <w:r w:rsidRPr="006A79A2">
              <w:rPr>
                <w:sz w:val="20"/>
                <w:szCs w:val="20"/>
                <w:lang w:val="en-GB"/>
              </w:rPr>
              <w:t>0.65</w:t>
            </w:r>
          </w:p>
        </w:tc>
      </w:tr>
      <w:tr w:rsidR="006A79A2" w:rsidRPr="006A79A2">
        <w:trPr>
          <w:trHeight w:val="239"/>
        </w:trPr>
        <w:tc>
          <w:tcPr>
            <w:tcW w:w="2448" w:type="dxa"/>
          </w:tcPr>
          <w:p w:rsidR="006A79A2" w:rsidRPr="006A79A2" w:rsidRDefault="006A79A2" w:rsidP="006A79A2">
            <w:pPr>
              <w:jc w:val="center"/>
              <w:rPr>
                <w:sz w:val="20"/>
                <w:szCs w:val="20"/>
                <w:vertAlign w:val="subscript"/>
                <w:lang w:val="en-GB"/>
              </w:rPr>
            </w:pPr>
            <w:r w:rsidRPr="006A79A2">
              <w:rPr>
                <w:sz w:val="20"/>
                <w:szCs w:val="20"/>
                <w:lang w:val="en-GB"/>
              </w:rPr>
              <w:t>Na</w:t>
            </w:r>
            <w:r w:rsidRPr="006A79A2">
              <w:rPr>
                <w:sz w:val="20"/>
                <w:szCs w:val="20"/>
                <w:vertAlign w:val="subscript"/>
                <w:lang w:val="en-GB"/>
              </w:rPr>
              <w:t>2</w:t>
            </w:r>
            <w:r w:rsidRPr="006A79A2">
              <w:rPr>
                <w:sz w:val="20"/>
                <w:szCs w:val="20"/>
                <w:lang w:val="en-GB"/>
              </w:rPr>
              <w:t>O</w:t>
            </w:r>
          </w:p>
        </w:tc>
        <w:tc>
          <w:tcPr>
            <w:tcW w:w="1800" w:type="dxa"/>
          </w:tcPr>
          <w:p w:rsidR="006A79A2" w:rsidRPr="006A79A2" w:rsidRDefault="006A79A2" w:rsidP="006A79A2">
            <w:pPr>
              <w:jc w:val="center"/>
              <w:rPr>
                <w:sz w:val="20"/>
                <w:szCs w:val="20"/>
                <w:lang w:val="en-GB"/>
              </w:rPr>
            </w:pPr>
            <w:r w:rsidRPr="006A79A2">
              <w:rPr>
                <w:sz w:val="20"/>
                <w:szCs w:val="20"/>
                <w:lang w:val="en-GB"/>
              </w:rPr>
              <w:t>0.60</w:t>
            </w:r>
          </w:p>
        </w:tc>
      </w:tr>
      <w:tr w:rsidR="006A79A2" w:rsidRPr="006A79A2">
        <w:trPr>
          <w:trHeight w:val="239"/>
        </w:trPr>
        <w:tc>
          <w:tcPr>
            <w:tcW w:w="2448" w:type="dxa"/>
          </w:tcPr>
          <w:p w:rsidR="006A79A2" w:rsidRPr="006A79A2" w:rsidRDefault="006A79A2" w:rsidP="006A79A2">
            <w:pPr>
              <w:jc w:val="center"/>
              <w:rPr>
                <w:sz w:val="20"/>
                <w:szCs w:val="20"/>
                <w:vertAlign w:val="subscript"/>
                <w:lang w:val="en-GB"/>
              </w:rPr>
            </w:pPr>
            <w:r w:rsidRPr="006A79A2">
              <w:rPr>
                <w:sz w:val="20"/>
                <w:szCs w:val="20"/>
                <w:lang w:val="en-GB"/>
              </w:rPr>
              <w:t>SO</w:t>
            </w:r>
            <w:r w:rsidRPr="006A79A2">
              <w:rPr>
                <w:sz w:val="20"/>
                <w:szCs w:val="20"/>
                <w:vertAlign w:val="subscript"/>
                <w:lang w:val="en-GB"/>
              </w:rPr>
              <w:t>3</w:t>
            </w:r>
          </w:p>
        </w:tc>
        <w:tc>
          <w:tcPr>
            <w:tcW w:w="1800" w:type="dxa"/>
          </w:tcPr>
          <w:p w:rsidR="006A79A2" w:rsidRPr="006A79A2" w:rsidRDefault="006A79A2" w:rsidP="006A79A2">
            <w:pPr>
              <w:jc w:val="center"/>
              <w:rPr>
                <w:sz w:val="20"/>
                <w:szCs w:val="20"/>
                <w:lang w:val="en-GB"/>
              </w:rPr>
            </w:pPr>
            <w:r w:rsidRPr="006A79A2">
              <w:rPr>
                <w:sz w:val="20"/>
                <w:szCs w:val="20"/>
                <w:lang w:val="en-GB"/>
              </w:rPr>
              <w:t>1.52</w:t>
            </w:r>
          </w:p>
        </w:tc>
      </w:tr>
      <w:tr w:rsidR="006A79A2" w:rsidRPr="006A79A2">
        <w:trPr>
          <w:trHeight w:val="254"/>
        </w:trPr>
        <w:tc>
          <w:tcPr>
            <w:tcW w:w="2448" w:type="dxa"/>
          </w:tcPr>
          <w:p w:rsidR="006A79A2" w:rsidRPr="006A79A2" w:rsidRDefault="006A79A2" w:rsidP="006A79A2">
            <w:pPr>
              <w:jc w:val="center"/>
              <w:rPr>
                <w:sz w:val="20"/>
                <w:szCs w:val="20"/>
                <w:lang w:val="en-GB"/>
              </w:rPr>
            </w:pPr>
            <w:r w:rsidRPr="006A79A2">
              <w:rPr>
                <w:sz w:val="20"/>
                <w:szCs w:val="20"/>
                <w:lang w:val="en-GB"/>
              </w:rPr>
              <w:t>Cd</w:t>
            </w:r>
          </w:p>
        </w:tc>
        <w:tc>
          <w:tcPr>
            <w:tcW w:w="1800" w:type="dxa"/>
          </w:tcPr>
          <w:p w:rsidR="006A79A2" w:rsidRPr="006A79A2" w:rsidRDefault="006A79A2" w:rsidP="006A79A2">
            <w:pPr>
              <w:jc w:val="center"/>
              <w:rPr>
                <w:sz w:val="20"/>
                <w:szCs w:val="20"/>
                <w:lang w:val="en-GB"/>
              </w:rPr>
            </w:pPr>
            <w:r w:rsidRPr="006A79A2">
              <w:rPr>
                <w:sz w:val="20"/>
                <w:szCs w:val="20"/>
                <w:lang w:val="en-GB"/>
              </w:rPr>
              <w:t>16.21 ppm</w:t>
            </w:r>
          </w:p>
        </w:tc>
      </w:tr>
    </w:tbl>
    <w:p w:rsidR="006C725F" w:rsidRDefault="006C725F" w:rsidP="00342556">
      <w:pPr>
        <w:jc w:val="both"/>
        <w:rPr>
          <w:lang w:val="en-GB"/>
        </w:rPr>
      </w:pPr>
    </w:p>
    <w:p w:rsidR="002C0295" w:rsidRPr="00F85747" w:rsidRDefault="002C0295" w:rsidP="00102028">
      <w:pPr>
        <w:jc w:val="both"/>
        <w:rPr>
          <w:color w:val="0000FF"/>
          <w:lang w:val="en-US"/>
        </w:rPr>
      </w:pPr>
      <w:r w:rsidRPr="00361E6E">
        <w:rPr>
          <w:lang w:val="en-GB"/>
        </w:rPr>
        <w:t>The quantities in P</w:t>
      </w:r>
      <w:r w:rsidRPr="00361E6E">
        <w:rPr>
          <w:vertAlign w:val="subscript"/>
          <w:lang w:val="en-GB"/>
        </w:rPr>
        <w:t>2</w:t>
      </w:r>
      <w:r w:rsidRPr="00361E6E">
        <w:rPr>
          <w:lang w:val="en-GB"/>
        </w:rPr>
        <w:t>O</w:t>
      </w:r>
      <w:r w:rsidRPr="00361E6E">
        <w:rPr>
          <w:vertAlign w:val="subscript"/>
          <w:lang w:val="en-GB"/>
        </w:rPr>
        <w:t>5</w:t>
      </w:r>
      <w:r w:rsidRPr="00361E6E">
        <w:rPr>
          <w:lang w:val="en-GB"/>
        </w:rPr>
        <w:t xml:space="preserve"> and CaO can be improved by calcination. Indeed, the heat treatment will allow the respective reduction of the contents of organic matter (%C</w:t>
      </w:r>
      <w:r w:rsidRPr="00361E6E">
        <w:rPr>
          <w:vertAlign w:val="subscript"/>
          <w:lang w:val="en-GB"/>
        </w:rPr>
        <w:t>org</w:t>
      </w:r>
      <w:r w:rsidRPr="00361E6E">
        <w:rPr>
          <w:lang w:val="en-GB"/>
        </w:rPr>
        <w:t>) and carbonates (%CO</w:t>
      </w:r>
      <w:r w:rsidRPr="00361E6E">
        <w:rPr>
          <w:vertAlign w:val="subscript"/>
          <w:lang w:val="en-GB"/>
        </w:rPr>
        <w:t>2</w:t>
      </w:r>
      <w:r w:rsidRPr="00361E6E">
        <w:rPr>
          <w:lang w:val="en-GB"/>
        </w:rPr>
        <w:t>). These two types of impurities are responsible for the difficult</w:t>
      </w:r>
      <w:r w:rsidR="00E7584D" w:rsidRPr="00361E6E">
        <w:rPr>
          <w:lang w:val="en-GB"/>
        </w:rPr>
        <w:t>ies occurred at the time of the</w:t>
      </w:r>
      <w:r w:rsidRPr="00361E6E">
        <w:rPr>
          <w:lang w:val="en-GB"/>
        </w:rPr>
        <w:t xml:space="preserve"> phosphates rock valorization especially for the synthesis of the phosphoric acid. In this respect, the presence of the organic components constitutes an awkward element reducing sulphide sulphates and involving thereafter an intense corrosion of the engines </w:t>
      </w:r>
      <w:r w:rsidR="00102028">
        <w:rPr>
          <w:lang w:val="en-GB"/>
        </w:rPr>
        <w:t>[20]</w:t>
      </w:r>
      <w:r w:rsidRPr="00361E6E">
        <w:rPr>
          <w:lang w:val="en-GB"/>
        </w:rPr>
        <w:t>. Moreover, the existence of these organic components causes the formation of foam which disadvantages the cooling of the exothermic reaction of attack by the sulphuric acid. Indeed, the latter causes an increase in the temperature and viscosity and consequently the formation of the phosphogypsums hemihydrates. Thus, a bad filtration rises which affects the</w:t>
      </w:r>
      <w:r w:rsidR="00102028">
        <w:rPr>
          <w:lang w:val="en-GB"/>
        </w:rPr>
        <w:t xml:space="preserve"> quality of the phosphoric acid</w:t>
      </w:r>
      <w:r w:rsidRPr="00361E6E">
        <w:rPr>
          <w:lang w:val="en-GB"/>
        </w:rPr>
        <w:t xml:space="preserve"> by decreasing the chemical outcome</w:t>
      </w:r>
      <w:r w:rsidR="00102028">
        <w:rPr>
          <w:lang w:val="en-GB"/>
        </w:rPr>
        <w:t xml:space="preserve"> [21]</w:t>
      </w:r>
      <w:r w:rsidRPr="00361E6E">
        <w:rPr>
          <w:lang w:val="en-GB"/>
        </w:rPr>
        <w:t>. Moreover, the dioxide of carbon contaminates also the material by giving the black colour to the produced acid which contributes to the pollution of the environment</w:t>
      </w:r>
      <w:r w:rsidR="00353F13" w:rsidRPr="00361E6E">
        <w:rPr>
          <w:lang w:val="en-GB"/>
        </w:rPr>
        <w:t>.</w:t>
      </w:r>
    </w:p>
    <w:p w:rsidR="00456D7D" w:rsidRPr="00361E6E" w:rsidRDefault="00AF31B9" w:rsidP="00243CFB">
      <w:pPr>
        <w:pStyle w:val="Corpsdetexte"/>
        <w:tabs>
          <w:tab w:val="left" w:pos="4320"/>
        </w:tabs>
        <w:spacing w:before="120"/>
        <w:jc w:val="both"/>
        <w:rPr>
          <w:b/>
          <w:bCs/>
          <w:lang w:val="en-US"/>
        </w:rPr>
      </w:pPr>
      <w:r>
        <w:rPr>
          <w:b/>
          <w:bCs/>
          <w:lang w:val="en-GB"/>
        </w:rPr>
        <w:t>2. 3. 3</w:t>
      </w:r>
      <w:r w:rsidR="00287510">
        <w:rPr>
          <w:b/>
          <w:bCs/>
          <w:lang w:val="en-GB"/>
        </w:rPr>
        <w:t xml:space="preserve">. </w:t>
      </w:r>
      <w:r w:rsidR="00456D7D" w:rsidRPr="00361E6E">
        <w:rPr>
          <w:b/>
          <w:bCs/>
          <w:lang w:val="en-GB"/>
        </w:rPr>
        <w:t>Mineralogical analysis</w:t>
      </w:r>
    </w:p>
    <w:p w:rsidR="002C0295" w:rsidRDefault="002C0295" w:rsidP="00D105B4">
      <w:pPr>
        <w:tabs>
          <w:tab w:val="left" w:pos="4320"/>
        </w:tabs>
        <w:ind w:firstLine="284"/>
        <w:jc w:val="both"/>
        <w:rPr>
          <w:lang w:val="en-GB"/>
        </w:rPr>
      </w:pPr>
      <w:r w:rsidRPr="00361E6E">
        <w:rPr>
          <w:lang w:val="en-GB"/>
        </w:rPr>
        <w:t>The mineralogical analysis was carried out by using a diffractometer XPRT MPD Panalytical – Philips, with copper anticathode (</w:t>
      </w:r>
      <w:r w:rsidRPr="00361E6E">
        <w:rPr>
          <w:rFonts w:ascii="Symbol" w:hAnsi="Symbol" w:cs="Symbol"/>
        </w:rPr>
        <w:t></w:t>
      </w:r>
      <w:r w:rsidRPr="00361E6E">
        <w:rPr>
          <w:vertAlign w:val="subscript"/>
          <w:lang w:val="en-GB"/>
        </w:rPr>
        <w:t>K</w:t>
      </w:r>
      <w:r w:rsidRPr="00361E6E">
        <w:rPr>
          <w:rFonts w:ascii="Symbol" w:hAnsi="Symbol" w:cs="Symbol"/>
          <w:vertAlign w:val="subscript"/>
        </w:rPr>
        <w:t></w:t>
      </w:r>
      <w:r w:rsidR="00AF31B9">
        <w:rPr>
          <w:lang w:val="en-GB"/>
        </w:rPr>
        <w:t xml:space="preserve"> = 1</w:t>
      </w:r>
      <w:r w:rsidRPr="00361E6E">
        <w:rPr>
          <w:lang w:val="en-GB"/>
        </w:rPr>
        <w:t>5</w:t>
      </w:r>
      <w:r w:rsidR="00D105B4">
        <w:rPr>
          <w:lang w:val="en-GB"/>
        </w:rPr>
        <w:t>.</w:t>
      </w:r>
      <w:r w:rsidRPr="00361E6E">
        <w:rPr>
          <w:lang w:val="en-GB"/>
        </w:rPr>
        <w:t>405</w:t>
      </w:r>
      <w:r w:rsidR="00522670">
        <w:rPr>
          <w:lang w:val="en-GB"/>
        </w:rPr>
        <w:t xml:space="preserve"> </w:t>
      </w:r>
      <w:r w:rsidR="00AF31B9">
        <w:rPr>
          <w:lang w:val="en-GB"/>
        </w:rPr>
        <w:t>nm</w:t>
      </w:r>
      <w:r w:rsidRPr="00361E6E">
        <w:rPr>
          <w:lang w:val="en-GB"/>
        </w:rPr>
        <w:t xml:space="preserve">). We were interested in the crushed section of granulometry ranging between 40 µm and 500 µm. The diffractogram (figure </w:t>
      </w:r>
      <w:r w:rsidR="00CB134C" w:rsidRPr="00361E6E">
        <w:rPr>
          <w:lang w:val="en-GB"/>
        </w:rPr>
        <w:t>3</w:t>
      </w:r>
      <w:r w:rsidRPr="00361E6E">
        <w:rPr>
          <w:lang w:val="en-GB"/>
        </w:rPr>
        <w:t>), reveal the presence of the following phases: the fluoroapatite Ca</w:t>
      </w:r>
      <w:r w:rsidRPr="00361E6E">
        <w:rPr>
          <w:vertAlign w:val="subscript"/>
          <w:lang w:val="en-GB"/>
        </w:rPr>
        <w:t>10</w:t>
      </w:r>
      <w:r w:rsidRPr="00361E6E">
        <w:rPr>
          <w:lang w:val="en-GB"/>
        </w:rPr>
        <w:t>(PO</w:t>
      </w:r>
      <w:r w:rsidRPr="00361E6E">
        <w:rPr>
          <w:vertAlign w:val="subscript"/>
          <w:lang w:val="en-GB"/>
        </w:rPr>
        <w:t>4</w:t>
      </w:r>
      <w:r w:rsidRPr="00361E6E">
        <w:rPr>
          <w:lang w:val="en-GB"/>
        </w:rPr>
        <w:t>)</w:t>
      </w:r>
      <w:r w:rsidRPr="00361E6E">
        <w:rPr>
          <w:vertAlign w:val="subscript"/>
          <w:lang w:val="en-GB"/>
        </w:rPr>
        <w:t>6</w:t>
      </w:r>
      <w:r w:rsidRPr="00361E6E">
        <w:rPr>
          <w:lang w:val="en-GB"/>
        </w:rPr>
        <w:t>F</w:t>
      </w:r>
      <w:r w:rsidRPr="00361E6E">
        <w:rPr>
          <w:vertAlign w:val="subscript"/>
          <w:lang w:val="en-GB"/>
        </w:rPr>
        <w:t>2</w:t>
      </w:r>
      <w:r w:rsidRPr="00361E6E">
        <w:rPr>
          <w:lang w:val="en-GB"/>
        </w:rPr>
        <w:t xml:space="preserve"> (2</w:t>
      </w:r>
      <w:r w:rsidRPr="00361E6E">
        <w:t>θ</w:t>
      </w:r>
      <w:r w:rsidRPr="00361E6E">
        <w:rPr>
          <w:lang w:val="en-GB"/>
        </w:rPr>
        <w:t> : 32</w:t>
      </w:r>
      <w:r w:rsidR="00D105B4">
        <w:rPr>
          <w:lang w:val="en-GB"/>
        </w:rPr>
        <w:t>.</w:t>
      </w:r>
      <w:r w:rsidRPr="00361E6E">
        <w:rPr>
          <w:lang w:val="en-GB"/>
        </w:rPr>
        <w:t>173 ; 33</w:t>
      </w:r>
      <w:r w:rsidR="00D105B4">
        <w:rPr>
          <w:lang w:val="en-GB"/>
        </w:rPr>
        <w:t>.</w:t>
      </w:r>
      <w:r w:rsidRPr="00361E6E">
        <w:rPr>
          <w:lang w:val="en-GB"/>
        </w:rPr>
        <w:t>280 ; 49</w:t>
      </w:r>
      <w:r w:rsidR="00D105B4">
        <w:rPr>
          <w:lang w:val="en-GB"/>
        </w:rPr>
        <w:t>.</w:t>
      </w:r>
      <w:r w:rsidRPr="00361E6E">
        <w:rPr>
          <w:lang w:val="en-GB"/>
        </w:rPr>
        <w:t>786 ; 64</w:t>
      </w:r>
      <w:r w:rsidR="00D105B4">
        <w:rPr>
          <w:lang w:val="en-GB"/>
        </w:rPr>
        <w:t>.</w:t>
      </w:r>
      <w:r w:rsidRPr="00361E6E">
        <w:rPr>
          <w:lang w:val="en-GB"/>
        </w:rPr>
        <w:t>179 ; 40</w:t>
      </w:r>
      <w:r w:rsidR="00D105B4">
        <w:rPr>
          <w:lang w:val="en-GB"/>
        </w:rPr>
        <w:t>.</w:t>
      </w:r>
      <w:r w:rsidRPr="00361E6E">
        <w:rPr>
          <w:lang w:val="en-GB"/>
        </w:rPr>
        <w:t>227 ; 34</w:t>
      </w:r>
      <w:r w:rsidR="00D105B4">
        <w:rPr>
          <w:lang w:val="en-GB"/>
        </w:rPr>
        <w:t>.</w:t>
      </w:r>
      <w:r w:rsidRPr="00361E6E">
        <w:rPr>
          <w:lang w:val="en-GB"/>
        </w:rPr>
        <w:t>331 ; 25</w:t>
      </w:r>
      <w:r w:rsidR="00D105B4">
        <w:rPr>
          <w:lang w:val="en-GB"/>
        </w:rPr>
        <w:t>.</w:t>
      </w:r>
      <w:r w:rsidRPr="00361E6E">
        <w:rPr>
          <w:lang w:val="en-GB"/>
        </w:rPr>
        <w:t>879), the quartz SiO</w:t>
      </w:r>
      <w:r w:rsidRPr="00361E6E">
        <w:rPr>
          <w:vertAlign w:val="subscript"/>
          <w:lang w:val="en-GB"/>
        </w:rPr>
        <w:t>2</w:t>
      </w:r>
      <w:r w:rsidRPr="00361E6E">
        <w:rPr>
          <w:lang w:val="en-GB"/>
        </w:rPr>
        <w:t xml:space="preserve"> (2</w:t>
      </w:r>
      <w:r w:rsidRPr="00361E6E">
        <w:t>θ</w:t>
      </w:r>
      <w:r w:rsidRPr="00361E6E">
        <w:rPr>
          <w:lang w:val="en-GB"/>
        </w:rPr>
        <w:t> : 26</w:t>
      </w:r>
      <w:r w:rsidR="00D105B4">
        <w:rPr>
          <w:lang w:val="en-GB"/>
        </w:rPr>
        <w:t>.</w:t>
      </w:r>
      <w:r w:rsidRPr="00361E6E">
        <w:rPr>
          <w:lang w:val="en-GB"/>
        </w:rPr>
        <w:t>587 ; 67</w:t>
      </w:r>
      <w:r w:rsidR="00D105B4">
        <w:rPr>
          <w:lang w:val="en-GB"/>
        </w:rPr>
        <w:t>.</w:t>
      </w:r>
      <w:r w:rsidRPr="00361E6E">
        <w:rPr>
          <w:lang w:val="en-GB"/>
        </w:rPr>
        <w:t>861 ; 50</w:t>
      </w:r>
      <w:r w:rsidR="00D105B4">
        <w:rPr>
          <w:lang w:val="en-GB"/>
        </w:rPr>
        <w:t>.</w:t>
      </w:r>
      <w:r w:rsidRPr="00361E6E">
        <w:rPr>
          <w:lang w:val="en-GB"/>
        </w:rPr>
        <w:t>079 ; 20</w:t>
      </w:r>
      <w:r w:rsidR="00D105B4">
        <w:rPr>
          <w:lang w:val="en-GB"/>
        </w:rPr>
        <w:t>.</w:t>
      </w:r>
      <w:r w:rsidRPr="00361E6E">
        <w:rPr>
          <w:lang w:val="en-GB"/>
        </w:rPr>
        <w:t xml:space="preserve">885). The carbonates are </w:t>
      </w:r>
      <w:r w:rsidRPr="00361E6E">
        <w:rPr>
          <w:rFonts w:eastAsia="SimSun"/>
          <w:lang w:val="en-GB" w:eastAsia="zh-CN"/>
        </w:rPr>
        <w:t>in the form of dolomite</w:t>
      </w:r>
      <w:r w:rsidRPr="00361E6E">
        <w:rPr>
          <w:lang w:val="en-GB"/>
        </w:rPr>
        <w:t xml:space="preserve"> CaMg(CO</w:t>
      </w:r>
      <w:r w:rsidRPr="00361E6E">
        <w:rPr>
          <w:vertAlign w:val="subscript"/>
          <w:lang w:val="en-GB"/>
        </w:rPr>
        <w:t>3</w:t>
      </w:r>
      <w:r w:rsidRPr="00361E6E">
        <w:rPr>
          <w:lang w:val="en-GB"/>
        </w:rPr>
        <w:t>)</w:t>
      </w:r>
      <w:r w:rsidRPr="00361E6E">
        <w:rPr>
          <w:vertAlign w:val="subscript"/>
          <w:lang w:val="en-GB"/>
        </w:rPr>
        <w:t>2</w:t>
      </w:r>
      <w:r w:rsidRPr="00361E6E">
        <w:rPr>
          <w:lang w:val="en-GB"/>
        </w:rPr>
        <w:t xml:space="preserve"> (2</w:t>
      </w:r>
      <w:r w:rsidRPr="00361E6E">
        <w:t>θ</w:t>
      </w:r>
      <w:r w:rsidRPr="00361E6E">
        <w:rPr>
          <w:lang w:val="en-GB"/>
        </w:rPr>
        <w:t> : 30</w:t>
      </w:r>
      <w:r w:rsidR="00D105B4">
        <w:rPr>
          <w:lang w:val="en-GB"/>
        </w:rPr>
        <w:t>.</w:t>
      </w:r>
      <w:r w:rsidRPr="00361E6E">
        <w:rPr>
          <w:lang w:val="en-GB"/>
        </w:rPr>
        <w:t>917 ; 50</w:t>
      </w:r>
      <w:r w:rsidR="00D105B4">
        <w:rPr>
          <w:lang w:val="en-GB"/>
        </w:rPr>
        <w:t>.</w:t>
      </w:r>
      <w:r w:rsidRPr="00361E6E">
        <w:rPr>
          <w:lang w:val="en-GB"/>
        </w:rPr>
        <w:t>674 ; 41</w:t>
      </w:r>
      <w:r w:rsidR="00D105B4">
        <w:rPr>
          <w:lang w:val="en-GB"/>
        </w:rPr>
        <w:t>.</w:t>
      </w:r>
      <w:r w:rsidRPr="00361E6E">
        <w:rPr>
          <w:lang w:val="en-GB"/>
        </w:rPr>
        <w:t>187) and the calcite CaCO</w:t>
      </w:r>
      <w:r w:rsidRPr="00361E6E">
        <w:rPr>
          <w:vertAlign w:val="subscript"/>
          <w:lang w:val="en-GB"/>
        </w:rPr>
        <w:t>3</w:t>
      </w:r>
      <w:r w:rsidRPr="00361E6E">
        <w:rPr>
          <w:lang w:val="en-GB"/>
        </w:rPr>
        <w:t>. (2</w:t>
      </w:r>
      <w:r w:rsidRPr="00361E6E">
        <w:t>θ</w:t>
      </w:r>
      <w:r w:rsidRPr="00361E6E">
        <w:rPr>
          <w:lang w:val="en-GB"/>
        </w:rPr>
        <w:t> : 45</w:t>
      </w:r>
      <w:r w:rsidR="00D105B4">
        <w:rPr>
          <w:lang w:val="en-GB"/>
        </w:rPr>
        <w:t>.</w:t>
      </w:r>
      <w:r w:rsidRPr="00361E6E">
        <w:rPr>
          <w:lang w:val="en-GB"/>
        </w:rPr>
        <w:t>790 ; 26</w:t>
      </w:r>
      <w:r w:rsidR="00D105B4">
        <w:rPr>
          <w:lang w:val="en-GB"/>
        </w:rPr>
        <w:t>.</w:t>
      </w:r>
      <w:r w:rsidRPr="00361E6E">
        <w:rPr>
          <w:lang w:val="en-GB"/>
        </w:rPr>
        <w:t>189 ; 48</w:t>
      </w:r>
      <w:r w:rsidR="00D105B4">
        <w:rPr>
          <w:lang w:val="en-GB"/>
        </w:rPr>
        <w:t>.</w:t>
      </w:r>
      <w:r w:rsidRPr="00361E6E">
        <w:rPr>
          <w:lang w:val="en-GB"/>
        </w:rPr>
        <w:t>376 ; 33</w:t>
      </w:r>
      <w:r w:rsidR="00D105B4">
        <w:rPr>
          <w:lang w:val="en-GB"/>
        </w:rPr>
        <w:t>.</w:t>
      </w:r>
      <w:r w:rsidRPr="00361E6E">
        <w:rPr>
          <w:lang w:val="en-GB"/>
        </w:rPr>
        <w:t>153 ; 38</w:t>
      </w:r>
      <w:r w:rsidR="00D105B4">
        <w:rPr>
          <w:lang w:val="en-GB"/>
        </w:rPr>
        <w:t>.</w:t>
      </w:r>
      <w:r w:rsidRPr="00361E6E">
        <w:rPr>
          <w:lang w:val="en-GB"/>
        </w:rPr>
        <w:t>101 ; 36</w:t>
      </w:r>
      <w:r w:rsidR="00D105B4">
        <w:rPr>
          <w:lang w:val="en-GB"/>
        </w:rPr>
        <w:t>.</w:t>
      </w:r>
      <w:r w:rsidRPr="00361E6E">
        <w:rPr>
          <w:lang w:val="en-GB"/>
        </w:rPr>
        <w:t>041 ; 27</w:t>
      </w:r>
      <w:r w:rsidR="00D105B4">
        <w:rPr>
          <w:lang w:val="en-GB"/>
        </w:rPr>
        <w:t>.</w:t>
      </w:r>
      <w:r w:rsidRPr="00361E6E">
        <w:rPr>
          <w:lang w:val="en-GB"/>
        </w:rPr>
        <w:t>081 ; 52</w:t>
      </w:r>
      <w:r w:rsidR="00D105B4">
        <w:rPr>
          <w:lang w:val="en-GB"/>
        </w:rPr>
        <w:t>.</w:t>
      </w:r>
      <w:r w:rsidRPr="00361E6E">
        <w:rPr>
          <w:lang w:val="en-GB"/>
        </w:rPr>
        <w:t>553).</w:t>
      </w:r>
    </w:p>
    <w:p w:rsidR="007F0F69" w:rsidRPr="00361E6E" w:rsidRDefault="00442C85" w:rsidP="007F0F69">
      <w:pPr>
        <w:tabs>
          <w:tab w:val="left" w:pos="4320"/>
        </w:tabs>
        <w:jc w:val="both"/>
        <w:rPr>
          <w:lang w:val="en-GB"/>
        </w:rPr>
      </w:pPr>
      <w:r>
        <w:rPr>
          <w:noProof/>
        </w:rPr>
        <w:drawing>
          <wp:inline distT="0" distB="0" distL="0" distR="0">
            <wp:extent cx="2787015" cy="21869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7015" cy="2186940"/>
                    </a:xfrm>
                    <a:prstGeom prst="rect">
                      <a:avLst/>
                    </a:prstGeom>
                    <a:noFill/>
                    <a:ln>
                      <a:noFill/>
                    </a:ln>
                  </pic:spPr>
                </pic:pic>
              </a:graphicData>
            </a:graphic>
          </wp:inline>
        </w:drawing>
      </w:r>
    </w:p>
    <w:p w:rsidR="002C0295" w:rsidRPr="00361E6E" w:rsidRDefault="002C0295" w:rsidP="00920EDC">
      <w:pPr>
        <w:widowControl w:val="0"/>
        <w:tabs>
          <w:tab w:val="left" w:pos="4320"/>
        </w:tabs>
        <w:autoSpaceDE w:val="0"/>
        <w:autoSpaceDN w:val="0"/>
        <w:adjustRightInd w:val="0"/>
        <w:spacing w:before="120" w:after="120"/>
        <w:jc w:val="both"/>
        <w:rPr>
          <w:b/>
          <w:bCs/>
          <w:sz w:val="20"/>
          <w:szCs w:val="20"/>
          <w:lang w:val="en-GB"/>
        </w:rPr>
      </w:pPr>
      <w:r w:rsidRPr="00361E6E">
        <w:rPr>
          <w:b/>
          <w:bCs/>
          <w:sz w:val="20"/>
          <w:szCs w:val="20"/>
          <w:lang w:val="en-GB"/>
        </w:rPr>
        <w:t>Fig</w:t>
      </w:r>
      <w:r w:rsidR="00CB134C" w:rsidRPr="00361E6E">
        <w:rPr>
          <w:b/>
          <w:bCs/>
          <w:sz w:val="20"/>
          <w:szCs w:val="20"/>
          <w:lang w:val="en-GB"/>
        </w:rPr>
        <w:t>ure</w:t>
      </w:r>
      <w:r w:rsidRPr="00361E6E">
        <w:rPr>
          <w:b/>
          <w:bCs/>
          <w:sz w:val="20"/>
          <w:szCs w:val="20"/>
          <w:lang w:val="en-GB"/>
        </w:rPr>
        <w:t xml:space="preserve">. </w:t>
      </w:r>
      <w:r w:rsidR="00C05A9C">
        <w:rPr>
          <w:b/>
          <w:bCs/>
          <w:sz w:val="20"/>
          <w:szCs w:val="20"/>
          <w:lang w:val="en-GB"/>
        </w:rPr>
        <w:t>4</w:t>
      </w:r>
      <w:r w:rsidRPr="00361E6E">
        <w:rPr>
          <w:b/>
          <w:bCs/>
          <w:sz w:val="20"/>
          <w:szCs w:val="20"/>
          <w:lang w:val="en-GB"/>
        </w:rPr>
        <w:t>.</w:t>
      </w:r>
      <w:r w:rsidRPr="00361E6E">
        <w:rPr>
          <w:sz w:val="20"/>
          <w:szCs w:val="20"/>
          <w:lang w:val="en-GB"/>
        </w:rPr>
        <w:t xml:space="preserve"> Diffractogram of X-ray of a rough sample (* : Fluoroappatite, + : Quartz, ▲ : Calcite ● : Dolomite)</w:t>
      </w:r>
    </w:p>
    <w:p w:rsidR="00456D7D" w:rsidRPr="00361E6E" w:rsidRDefault="00AF31B9" w:rsidP="00243CFB">
      <w:pPr>
        <w:pStyle w:val="Corpsdetexte"/>
        <w:tabs>
          <w:tab w:val="left" w:pos="4320"/>
        </w:tabs>
        <w:spacing w:before="120"/>
        <w:jc w:val="both"/>
        <w:rPr>
          <w:b/>
          <w:bCs/>
          <w:lang w:val="en-US"/>
        </w:rPr>
      </w:pPr>
      <w:r>
        <w:rPr>
          <w:b/>
          <w:bCs/>
          <w:lang w:val="en-US"/>
        </w:rPr>
        <w:t>2. 3. 4</w:t>
      </w:r>
      <w:r w:rsidR="00287510">
        <w:rPr>
          <w:b/>
          <w:bCs/>
          <w:lang w:val="en-US"/>
        </w:rPr>
        <w:t xml:space="preserve">. </w:t>
      </w:r>
      <w:r w:rsidR="00456D7D" w:rsidRPr="00361E6E">
        <w:rPr>
          <w:b/>
          <w:bCs/>
          <w:lang w:val="en-US"/>
        </w:rPr>
        <w:t>Thermal</w:t>
      </w:r>
      <w:r w:rsidR="00456D7D" w:rsidRPr="00361E6E">
        <w:rPr>
          <w:b/>
          <w:bCs/>
          <w:lang w:val="en-GB"/>
        </w:rPr>
        <w:t xml:space="preserve"> analysis</w:t>
      </w:r>
    </w:p>
    <w:p w:rsidR="002C0295" w:rsidRPr="00361E6E" w:rsidRDefault="002C0295" w:rsidP="00816C7A">
      <w:pPr>
        <w:widowControl w:val="0"/>
        <w:tabs>
          <w:tab w:val="left" w:pos="4320"/>
        </w:tabs>
        <w:autoSpaceDE w:val="0"/>
        <w:autoSpaceDN w:val="0"/>
        <w:adjustRightInd w:val="0"/>
        <w:ind w:firstLine="284"/>
        <w:jc w:val="both"/>
        <w:rPr>
          <w:lang w:val="en-GB"/>
        </w:rPr>
      </w:pPr>
      <w:r w:rsidRPr="00361E6E">
        <w:rPr>
          <w:lang w:val="en-GB"/>
        </w:rPr>
        <w:t>Thermal measurements (DTA-GTA) were carried out using a thermal apparatus of analysis Labsys TM type. They were completed under air with a speed of heating of 10°C/minu</w:t>
      </w:r>
      <w:r w:rsidR="000921D6">
        <w:rPr>
          <w:lang w:val="en-GB"/>
        </w:rPr>
        <w:t xml:space="preserve">te, ambient temperature until </w:t>
      </w:r>
      <w:smartTag w:uri="urn:schemas-microsoft-com:office:smarttags" w:element="metricconverter">
        <w:smartTagPr>
          <w:attr w:name="ProductID" w:val="1000ﾰC"/>
        </w:smartTagPr>
        <w:r w:rsidR="000921D6">
          <w:rPr>
            <w:lang w:val="en-GB"/>
          </w:rPr>
          <w:t>10</w:t>
        </w:r>
        <w:r w:rsidRPr="00361E6E">
          <w:rPr>
            <w:lang w:val="en-GB"/>
          </w:rPr>
          <w:t>00°C</w:t>
        </w:r>
      </w:smartTag>
      <w:r w:rsidRPr="00361E6E">
        <w:rPr>
          <w:lang w:val="en-GB"/>
        </w:rPr>
        <w:t>, on the crushed section of 40</w:t>
      </w:r>
      <w:r w:rsidR="00E75890">
        <w:rPr>
          <w:lang w:val="en-GB"/>
        </w:rPr>
        <w:t xml:space="preserve"> </w:t>
      </w:r>
      <w:r w:rsidRPr="00361E6E">
        <w:rPr>
          <w:lang w:val="en-GB"/>
        </w:rPr>
        <w:t>μm to 500μm. The substance of reference is alumina</w:t>
      </w:r>
      <w:r w:rsidR="00353F13" w:rsidRPr="00361E6E">
        <w:rPr>
          <w:lang w:val="en-GB"/>
        </w:rPr>
        <w:t>.</w:t>
      </w:r>
    </w:p>
    <w:p w:rsidR="002C0295" w:rsidRPr="00361E6E" w:rsidRDefault="007E0DE4" w:rsidP="00816C7A">
      <w:pPr>
        <w:widowControl w:val="0"/>
        <w:tabs>
          <w:tab w:val="left" w:pos="4320"/>
        </w:tabs>
        <w:autoSpaceDE w:val="0"/>
        <w:autoSpaceDN w:val="0"/>
        <w:adjustRightInd w:val="0"/>
        <w:ind w:firstLine="284"/>
        <w:jc w:val="both"/>
        <w:rPr>
          <w:lang w:val="en-GB"/>
        </w:rPr>
      </w:pPr>
      <w:r>
        <w:rPr>
          <w:lang w:val="en-GB"/>
        </w:rPr>
        <w:t>The r</w:t>
      </w:r>
      <w:r w:rsidR="002C0295" w:rsidRPr="00361E6E">
        <w:rPr>
          <w:lang w:val="en-GB"/>
        </w:rPr>
        <w:t>esults of the DTA and TGA thermic analysis, gathered on figure</w:t>
      </w:r>
      <w:r w:rsidR="00CB134C" w:rsidRPr="00361E6E">
        <w:rPr>
          <w:lang w:val="en-GB"/>
        </w:rPr>
        <w:t xml:space="preserve"> </w:t>
      </w:r>
      <w:r w:rsidR="00547EF9">
        <w:rPr>
          <w:lang w:val="en-GB"/>
        </w:rPr>
        <w:t>5</w:t>
      </w:r>
      <w:r w:rsidR="002C0295" w:rsidRPr="00361E6E">
        <w:rPr>
          <w:lang w:val="en-GB"/>
        </w:rPr>
        <w:t>, present several phenomena:</w:t>
      </w:r>
    </w:p>
    <w:p w:rsidR="002C0295" w:rsidRPr="00361E6E" w:rsidRDefault="00442C85" w:rsidP="00243CFB">
      <w:pPr>
        <w:widowControl w:val="0"/>
        <w:tabs>
          <w:tab w:val="left" w:pos="4320"/>
        </w:tabs>
        <w:autoSpaceDE w:val="0"/>
        <w:autoSpaceDN w:val="0"/>
        <w:adjustRightInd w:val="0"/>
        <w:jc w:val="center"/>
      </w:pPr>
      <w:r>
        <w:rPr>
          <w:noProof/>
        </w:rPr>
        <w:drawing>
          <wp:inline distT="0" distB="0" distL="0" distR="0">
            <wp:extent cx="2889250" cy="2172335"/>
            <wp:effectExtent l="0" t="0" r="635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250" cy="2172335"/>
                    </a:xfrm>
                    <a:prstGeom prst="rect">
                      <a:avLst/>
                    </a:prstGeom>
                    <a:noFill/>
                    <a:ln>
                      <a:noFill/>
                    </a:ln>
                  </pic:spPr>
                </pic:pic>
              </a:graphicData>
            </a:graphic>
          </wp:inline>
        </w:drawing>
      </w:r>
    </w:p>
    <w:p w:rsidR="002C0295" w:rsidRPr="00361E6E" w:rsidRDefault="002C0295" w:rsidP="00C05A9C">
      <w:pPr>
        <w:widowControl w:val="0"/>
        <w:tabs>
          <w:tab w:val="left" w:pos="4320"/>
        </w:tabs>
        <w:autoSpaceDE w:val="0"/>
        <w:autoSpaceDN w:val="0"/>
        <w:adjustRightInd w:val="0"/>
        <w:spacing w:before="120" w:after="120"/>
        <w:jc w:val="both"/>
        <w:rPr>
          <w:sz w:val="20"/>
          <w:szCs w:val="20"/>
          <w:lang w:val="en-GB"/>
        </w:rPr>
      </w:pPr>
      <w:r w:rsidRPr="00361E6E">
        <w:rPr>
          <w:b/>
          <w:bCs/>
          <w:sz w:val="20"/>
          <w:szCs w:val="20"/>
          <w:lang w:val="en-GB"/>
        </w:rPr>
        <w:t>Fig</w:t>
      </w:r>
      <w:r w:rsidR="00CB134C" w:rsidRPr="00361E6E">
        <w:rPr>
          <w:b/>
          <w:bCs/>
          <w:sz w:val="20"/>
          <w:szCs w:val="20"/>
          <w:lang w:val="en-GB"/>
        </w:rPr>
        <w:t>ure</w:t>
      </w:r>
      <w:r w:rsidRPr="00361E6E">
        <w:rPr>
          <w:b/>
          <w:bCs/>
          <w:sz w:val="20"/>
          <w:szCs w:val="20"/>
          <w:lang w:val="en-GB"/>
        </w:rPr>
        <w:t xml:space="preserve">. </w:t>
      </w:r>
      <w:r w:rsidR="00C05A9C">
        <w:rPr>
          <w:b/>
          <w:bCs/>
          <w:sz w:val="20"/>
          <w:szCs w:val="20"/>
          <w:lang w:val="en-GB"/>
        </w:rPr>
        <w:t>5</w:t>
      </w:r>
      <w:r w:rsidRPr="00361E6E">
        <w:rPr>
          <w:b/>
          <w:bCs/>
          <w:sz w:val="20"/>
          <w:szCs w:val="20"/>
          <w:lang w:val="en-GB"/>
        </w:rPr>
        <w:t>.</w:t>
      </w:r>
      <w:r w:rsidRPr="00361E6E">
        <w:rPr>
          <w:sz w:val="20"/>
          <w:szCs w:val="20"/>
          <w:lang w:val="en-GB"/>
        </w:rPr>
        <w:t xml:space="preserve"> Curve DTA-GTA of a crude sample</w:t>
      </w:r>
    </w:p>
    <w:p w:rsidR="002C0295" w:rsidRPr="00361E6E" w:rsidRDefault="002C0295" w:rsidP="00816C7A">
      <w:pPr>
        <w:widowControl w:val="0"/>
        <w:tabs>
          <w:tab w:val="left" w:pos="4320"/>
        </w:tabs>
        <w:autoSpaceDE w:val="0"/>
        <w:autoSpaceDN w:val="0"/>
        <w:adjustRightInd w:val="0"/>
        <w:ind w:firstLine="284"/>
        <w:jc w:val="both"/>
        <w:rPr>
          <w:lang w:val="en-GB"/>
        </w:rPr>
      </w:pPr>
      <w:r w:rsidRPr="00361E6E">
        <w:rPr>
          <w:lang w:val="en-GB"/>
        </w:rPr>
        <w:t xml:space="preserve">* Phenomenon of endermic ambient temperature to </w:t>
      </w:r>
      <w:smartTag w:uri="urn:schemas-microsoft-com:office:smarttags" w:element="metricconverter">
        <w:smartTagPr>
          <w:attr w:name="ProductID" w:val="120ﾰC"/>
        </w:smartTagPr>
        <w:r w:rsidRPr="00361E6E">
          <w:rPr>
            <w:lang w:val="en-GB"/>
          </w:rPr>
          <w:t>120°C</w:t>
        </w:r>
      </w:smartTag>
      <w:r w:rsidRPr="00361E6E">
        <w:rPr>
          <w:lang w:val="en-GB"/>
        </w:rPr>
        <w:t xml:space="preserve"> whose top is located towards </w:t>
      </w:r>
      <w:smartTag w:uri="urn:schemas-microsoft-com:office:smarttags" w:element="metricconverter">
        <w:smartTagPr>
          <w:attr w:name="ProductID" w:val="80ﾰC"/>
        </w:smartTagPr>
        <w:r w:rsidRPr="00361E6E">
          <w:rPr>
            <w:lang w:val="en-GB"/>
          </w:rPr>
          <w:t>80°C</w:t>
        </w:r>
      </w:smartTag>
      <w:r w:rsidRPr="00361E6E">
        <w:rPr>
          <w:lang w:val="en-GB"/>
        </w:rPr>
        <w:t>, due to the departure of the humidity’s water;</w:t>
      </w:r>
    </w:p>
    <w:p w:rsidR="002C0295" w:rsidRPr="00361E6E" w:rsidRDefault="002C0295" w:rsidP="00816C7A">
      <w:pPr>
        <w:widowControl w:val="0"/>
        <w:tabs>
          <w:tab w:val="left" w:pos="4320"/>
        </w:tabs>
        <w:autoSpaceDE w:val="0"/>
        <w:autoSpaceDN w:val="0"/>
        <w:adjustRightInd w:val="0"/>
        <w:ind w:firstLine="284"/>
        <w:jc w:val="both"/>
        <w:rPr>
          <w:lang w:val="en-GB"/>
        </w:rPr>
      </w:pPr>
      <w:r w:rsidRPr="00361E6E">
        <w:rPr>
          <w:lang w:val="en-GB"/>
        </w:rPr>
        <w:t xml:space="preserve">* Weak exothermic phenomenon which starts around </w:t>
      </w:r>
      <w:smartTag w:uri="urn:schemas-microsoft-com:office:smarttags" w:element="metricconverter">
        <w:smartTagPr>
          <w:attr w:name="ProductID" w:val="300ﾰC"/>
        </w:smartTagPr>
        <w:r w:rsidRPr="00361E6E">
          <w:rPr>
            <w:lang w:val="en-GB"/>
          </w:rPr>
          <w:t>300°C</w:t>
        </w:r>
      </w:smartTag>
      <w:r w:rsidRPr="00361E6E">
        <w:rPr>
          <w:lang w:val="en-GB"/>
        </w:rPr>
        <w:t xml:space="preserve"> and which is spread out until </w:t>
      </w:r>
      <w:smartTag w:uri="urn:schemas-microsoft-com:office:smarttags" w:element="metricconverter">
        <w:smartTagPr>
          <w:attr w:name="ProductID" w:val="700ﾰC"/>
        </w:smartTagPr>
        <w:r w:rsidRPr="00361E6E">
          <w:rPr>
            <w:lang w:val="en-GB"/>
          </w:rPr>
          <w:t>700°C</w:t>
        </w:r>
      </w:smartTag>
      <w:r w:rsidRPr="00361E6E">
        <w:rPr>
          <w:lang w:val="en-GB"/>
        </w:rPr>
        <w:t>, due probably to the combustion of the organic matter;</w:t>
      </w:r>
    </w:p>
    <w:p w:rsidR="002C0295" w:rsidRPr="00361E6E" w:rsidRDefault="002C0295" w:rsidP="00816C7A">
      <w:pPr>
        <w:widowControl w:val="0"/>
        <w:tabs>
          <w:tab w:val="left" w:pos="4320"/>
        </w:tabs>
        <w:autoSpaceDE w:val="0"/>
        <w:autoSpaceDN w:val="0"/>
        <w:adjustRightInd w:val="0"/>
        <w:ind w:firstLine="284"/>
        <w:jc w:val="both"/>
        <w:rPr>
          <w:lang w:val="en-GB"/>
        </w:rPr>
      </w:pPr>
      <w:r w:rsidRPr="00361E6E">
        <w:rPr>
          <w:lang w:val="en-GB"/>
        </w:rPr>
        <w:t xml:space="preserve">* Between </w:t>
      </w:r>
      <w:smartTag w:uri="urn:schemas-microsoft-com:office:smarttags" w:element="metricconverter">
        <w:smartTagPr>
          <w:attr w:name="ProductID" w:val="700ﾰC"/>
        </w:smartTagPr>
        <w:r w:rsidRPr="00361E6E">
          <w:rPr>
            <w:lang w:val="en-GB"/>
          </w:rPr>
          <w:t>700°C</w:t>
        </w:r>
      </w:smartTag>
      <w:r w:rsidRPr="00361E6E">
        <w:rPr>
          <w:lang w:val="en-GB"/>
        </w:rPr>
        <w:t xml:space="preserve"> and </w:t>
      </w:r>
      <w:smartTag w:uri="urn:schemas-microsoft-com:office:smarttags" w:element="metricconverter">
        <w:smartTagPr>
          <w:attr w:name="ProductID" w:val="900ﾰC"/>
        </w:smartTagPr>
        <w:r w:rsidRPr="00361E6E">
          <w:rPr>
            <w:lang w:val="en-GB"/>
          </w:rPr>
          <w:t>900°C</w:t>
        </w:r>
      </w:smartTag>
      <w:r w:rsidRPr="00361E6E">
        <w:rPr>
          <w:lang w:val="en-GB"/>
        </w:rPr>
        <w:t>, an endothermic phenomenon which can be due to the decomposition of carbonates [calcite CaCO</w:t>
      </w:r>
      <w:r w:rsidRPr="00361E6E">
        <w:rPr>
          <w:vertAlign w:val="subscript"/>
          <w:lang w:val="en-GB"/>
        </w:rPr>
        <w:t>3</w:t>
      </w:r>
      <w:r w:rsidRPr="00361E6E">
        <w:rPr>
          <w:lang w:val="en-GB"/>
        </w:rPr>
        <w:t xml:space="preserve"> and the dolomite</w:t>
      </w:r>
      <w:r w:rsidR="001B6E08" w:rsidRPr="00361E6E">
        <w:rPr>
          <w:lang w:val="en-GB"/>
        </w:rPr>
        <w:t xml:space="preserve"> CaMg(CO</w:t>
      </w:r>
      <w:r w:rsidR="001B6E08" w:rsidRPr="00361E6E">
        <w:rPr>
          <w:vertAlign w:val="subscript"/>
          <w:lang w:val="en-GB"/>
        </w:rPr>
        <w:t>3</w:t>
      </w:r>
      <w:r w:rsidR="001B6E08" w:rsidRPr="00361E6E">
        <w:rPr>
          <w:lang w:val="en-GB"/>
        </w:rPr>
        <w:t>)</w:t>
      </w:r>
      <w:r w:rsidR="001B6E08" w:rsidRPr="00361E6E">
        <w:rPr>
          <w:vertAlign w:val="subscript"/>
          <w:lang w:val="en-GB"/>
        </w:rPr>
        <w:t>2</w:t>
      </w:r>
      <w:r w:rsidRPr="00361E6E">
        <w:rPr>
          <w:lang w:val="en-GB"/>
        </w:rPr>
        <w:t>] accor</w:t>
      </w:r>
      <w:r w:rsidR="00E90735" w:rsidRPr="00361E6E">
        <w:rPr>
          <w:lang w:val="en-GB"/>
        </w:rPr>
        <w:t>ding to the following reactions</w:t>
      </w:r>
      <w:r w:rsidRPr="00361E6E">
        <w:rPr>
          <w:lang w:val="en-GB"/>
        </w:rPr>
        <w:t>:</w:t>
      </w:r>
    </w:p>
    <w:p w:rsidR="00A80559" w:rsidRPr="00361E6E" w:rsidRDefault="002C0295" w:rsidP="00734C2C">
      <w:pPr>
        <w:widowControl w:val="0"/>
        <w:tabs>
          <w:tab w:val="left" w:pos="360"/>
          <w:tab w:val="left" w:pos="4320"/>
        </w:tabs>
        <w:autoSpaceDE w:val="0"/>
        <w:autoSpaceDN w:val="0"/>
        <w:adjustRightInd w:val="0"/>
        <w:jc w:val="center"/>
        <w:rPr>
          <w:lang w:val="en-GB"/>
        </w:rPr>
      </w:pPr>
      <w:r w:rsidRPr="00361E6E">
        <w:rPr>
          <w:lang w:val="en-GB"/>
        </w:rPr>
        <w:t>CaMg(CO</w:t>
      </w:r>
      <w:r w:rsidRPr="00361E6E">
        <w:rPr>
          <w:position w:val="-6"/>
          <w:vertAlign w:val="subscript"/>
          <w:lang w:val="en-GB"/>
        </w:rPr>
        <w:t>3</w:t>
      </w:r>
      <w:r w:rsidRPr="00361E6E">
        <w:rPr>
          <w:lang w:val="en-GB"/>
        </w:rPr>
        <w:t>)</w:t>
      </w:r>
      <w:r w:rsidRPr="00361E6E">
        <w:rPr>
          <w:position w:val="-6"/>
          <w:vertAlign w:val="subscript"/>
          <w:lang w:val="en-GB"/>
        </w:rPr>
        <w:t>2</w:t>
      </w:r>
      <w:r w:rsidR="00243CFB" w:rsidRPr="00361E6E">
        <w:rPr>
          <w:position w:val="-6"/>
          <w:vertAlign w:val="subscript"/>
          <w:lang w:val="en-GB"/>
        </w:rPr>
        <w:t xml:space="preserve"> </w:t>
      </w:r>
      <w:r w:rsidR="00243CFB" w:rsidRPr="00361E6E">
        <w:rPr>
          <w:rFonts w:ascii="Symbol" w:hAnsi="Symbol" w:cs="Symbol"/>
        </w:rPr>
        <w:t></w:t>
      </w:r>
      <w:r w:rsidR="00243CFB" w:rsidRPr="00361E6E">
        <w:rPr>
          <w:rFonts w:ascii="Symbol" w:hAnsi="Symbol" w:cs="Symbol"/>
        </w:rPr>
        <w:t></w:t>
      </w:r>
      <w:r w:rsidRPr="00361E6E">
        <w:rPr>
          <w:rFonts w:ascii="Symbol" w:hAnsi="Symbol" w:cs="Symbol"/>
        </w:rPr>
        <w:t></w:t>
      </w:r>
      <w:r w:rsidRPr="00361E6E">
        <w:rPr>
          <w:position w:val="-6"/>
          <w:vertAlign w:val="subscript"/>
          <w:lang w:val="en-GB"/>
        </w:rPr>
        <w:t xml:space="preserve"> </w:t>
      </w:r>
      <w:r w:rsidRPr="00361E6E">
        <w:rPr>
          <w:lang w:val="en-GB"/>
        </w:rPr>
        <w:t>CaO + MgO + 2CO</w:t>
      </w:r>
      <w:r w:rsidRPr="00361E6E">
        <w:rPr>
          <w:position w:val="-6"/>
          <w:vertAlign w:val="subscript"/>
          <w:lang w:val="en-GB"/>
        </w:rPr>
        <w:t>2</w:t>
      </w:r>
    </w:p>
    <w:p w:rsidR="002C0295" w:rsidRPr="00361E6E" w:rsidRDefault="002C0295" w:rsidP="00734C2C">
      <w:pPr>
        <w:widowControl w:val="0"/>
        <w:tabs>
          <w:tab w:val="left" w:pos="900"/>
          <w:tab w:val="left" w:pos="4320"/>
        </w:tabs>
        <w:autoSpaceDE w:val="0"/>
        <w:autoSpaceDN w:val="0"/>
        <w:adjustRightInd w:val="0"/>
        <w:ind w:firstLine="284"/>
        <w:jc w:val="center"/>
        <w:rPr>
          <w:lang w:val="en-GB"/>
        </w:rPr>
      </w:pPr>
      <w:r w:rsidRPr="00361E6E">
        <w:rPr>
          <w:rFonts w:ascii="Symbol" w:hAnsi="Symbol" w:cs="Symbol"/>
        </w:rPr>
        <w:t></w:t>
      </w:r>
      <w:r w:rsidR="00A80559" w:rsidRPr="00361E6E">
        <w:rPr>
          <w:lang w:val="en-GB"/>
        </w:rPr>
        <w:t>H = 710kcal/kg</w:t>
      </w:r>
    </w:p>
    <w:p w:rsidR="00A80559" w:rsidRPr="00361E6E" w:rsidRDefault="002C0295" w:rsidP="00734C2C">
      <w:pPr>
        <w:widowControl w:val="0"/>
        <w:tabs>
          <w:tab w:val="left" w:pos="900"/>
          <w:tab w:val="left" w:pos="4320"/>
        </w:tabs>
        <w:autoSpaceDE w:val="0"/>
        <w:autoSpaceDN w:val="0"/>
        <w:adjustRightInd w:val="0"/>
        <w:jc w:val="center"/>
        <w:rPr>
          <w:vertAlign w:val="subscript"/>
          <w:lang w:val="en-GB"/>
        </w:rPr>
      </w:pPr>
      <w:r w:rsidRPr="00361E6E">
        <w:rPr>
          <w:lang w:val="en-GB"/>
        </w:rPr>
        <w:t>CaCO</w:t>
      </w:r>
      <w:r w:rsidRPr="00361E6E">
        <w:rPr>
          <w:vertAlign w:val="subscript"/>
          <w:lang w:val="en-GB"/>
        </w:rPr>
        <w:t>3</w:t>
      </w:r>
      <w:r w:rsidR="00243CFB" w:rsidRPr="00361E6E">
        <w:rPr>
          <w:vertAlign w:val="subscript"/>
          <w:lang w:val="en-GB"/>
        </w:rPr>
        <w:t xml:space="preserve">    </w:t>
      </w:r>
      <w:r w:rsidRPr="00361E6E">
        <w:rPr>
          <w:rFonts w:ascii="Symbol" w:hAnsi="Symbol" w:cs="Symbol"/>
        </w:rPr>
        <w:t></w:t>
      </w:r>
      <w:r w:rsidRPr="00361E6E">
        <w:rPr>
          <w:lang w:val="en-GB"/>
        </w:rPr>
        <w:t xml:space="preserve"> </w:t>
      </w:r>
      <w:r w:rsidR="00243CFB" w:rsidRPr="00361E6E">
        <w:rPr>
          <w:lang w:val="en-GB"/>
        </w:rPr>
        <w:t xml:space="preserve">  </w:t>
      </w:r>
      <w:r w:rsidRPr="00361E6E">
        <w:rPr>
          <w:lang w:val="en-GB"/>
        </w:rPr>
        <w:t>CaO + CO</w:t>
      </w:r>
      <w:r w:rsidRPr="00361E6E">
        <w:rPr>
          <w:vertAlign w:val="subscript"/>
          <w:lang w:val="en-GB"/>
        </w:rPr>
        <w:t>2</w:t>
      </w:r>
    </w:p>
    <w:p w:rsidR="002C0295" w:rsidRPr="00361E6E" w:rsidRDefault="002C0295" w:rsidP="00734C2C">
      <w:pPr>
        <w:widowControl w:val="0"/>
        <w:tabs>
          <w:tab w:val="left" w:pos="900"/>
          <w:tab w:val="left" w:pos="4320"/>
        </w:tabs>
        <w:autoSpaceDE w:val="0"/>
        <w:autoSpaceDN w:val="0"/>
        <w:adjustRightInd w:val="0"/>
        <w:ind w:firstLine="284"/>
        <w:jc w:val="center"/>
        <w:rPr>
          <w:vertAlign w:val="subscript"/>
          <w:lang w:val="en-GB"/>
        </w:rPr>
      </w:pPr>
      <w:r w:rsidRPr="00361E6E">
        <w:t>Δ</w:t>
      </w:r>
      <w:r w:rsidR="00A80559" w:rsidRPr="00361E6E">
        <w:rPr>
          <w:lang w:val="en-GB"/>
        </w:rPr>
        <w:t>H = 965kcal/kg</w:t>
      </w:r>
    </w:p>
    <w:p w:rsidR="002C0295" w:rsidRDefault="002C0295" w:rsidP="00816C7A">
      <w:pPr>
        <w:widowControl w:val="0"/>
        <w:tabs>
          <w:tab w:val="left" w:pos="4320"/>
        </w:tabs>
        <w:autoSpaceDE w:val="0"/>
        <w:autoSpaceDN w:val="0"/>
        <w:adjustRightInd w:val="0"/>
        <w:ind w:firstLine="284"/>
        <w:jc w:val="both"/>
        <w:rPr>
          <w:lang w:val="en-GB"/>
        </w:rPr>
      </w:pPr>
      <w:r w:rsidRPr="00361E6E">
        <w:rPr>
          <w:lang w:val="en-GB"/>
        </w:rPr>
        <w:t xml:space="preserve">Let us note that the total loss at </w:t>
      </w:r>
      <w:smartTag w:uri="urn:schemas-microsoft-com:office:smarttags" w:element="metricconverter">
        <w:smartTagPr>
          <w:attr w:name="ProductID" w:val="1000ﾰC"/>
        </w:smartTagPr>
        <w:r w:rsidRPr="00361E6E">
          <w:rPr>
            <w:lang w:val="en-GB"/>
          </w:rPr>
          <w:t>1000°C</w:t>
        </w:r>
      </w:smartTag>
      <w:r w:rsidR="00D105B4">
        <w:rPr>
          <w:lang w:val="en-GB"/>
        </w:rPr>
        <w:t xml:space="preserve"> is about 9.</w:t>
      </w:r>
      <w:r w:rsidRPr="00361E6E">
        <w:rPr>
          <w:lang w:val="en-GB"/>
        </w:rPr>
        <w:t>2%</w:t>
      </w:r>
      <w:r w:rsidR="001B6E08" w:rsidRPr="00361E6E">
        <w:rPr>
          <w:lang w:val="en-GB"/>
        </w:rPr>
        <w:t>.</w:t>
      </w:r>
    </w:p>
    <w:p w:rsidR="00C121FB" w:rsidRPr="00031F72" w:rsidRDefault="00C121FB" w:rsidP="00C121FB">
      <w:pPr>
        <w:widowControl w:val="0"/>
        <w:tabs>
          <w:tab w:val="left" w:pos="4320"/>
        </w:tabs>
        <w:autoSpaceDE w:val="0"/>
        <w:autoSpaceDN w:val="0"/>
        <w:adjustRightInd w:val="0"/>
        <w:spacing w:before="240" w:after="240"/>
        <w:jc w:val="both"/>
        <w:rPr>
          <w:b/>
          <w:bCs/>
          <w:color w:val="800000"/>
          <w:lang w:val="en-GB"/>
        </w:rPr>
      </w:pPr>
      <w:r w:rsidRPr="00031F72">
        <w:rPr>
          <w:b/>
          <w:bCs/>
          <w:color w:val="800000"/>
          <w:lang w:val="en-US"/>
        </w:rPr>
        <w:t>3. Behavior of the principal constituents (</w:t>
      </w:r>
      <w:r w:rsidRPr="00031F72">
        <w:rPr>
          <w:b/>
          <w:bCs/>
          <w:color w:val="800000"/>
          <w:lang w:val="en-GB"/>
        </w:rPr>
        <w:t>C</w:t>
      </w:r>
      <w:r w:rsidRPr="00031F72">
        <w:rPr>
          <w:b/>
          <w:bCs/>
          <w:color w:val="800000"/>
          <w:vertAlign w:val="subscript"/>
          <w:lang w:val="en-GB"/>
        </w:rPr>
        <w:t>org</w:t>
      </w:r>
      <w:r w:rsidRPr="00031F72">
        <w:rPr>
          <w:b/>
          <w:bCs/>
          <w:color w:val="800000"/>
          <w:lang w:val="en-GB"/>
        </w:rPr>
        <w:t>, CO</w:t>
      </w:r>
      <w:r w:rsidRPr="00031F72">
        <w:rPr>
          <w:b/>
          <w:bCs/>
          <w:color w:val="800000"/>
          <w:vertAlign w:val="subscript"/>
          <w:lang w:val="en-GB"/>
        </w:rPr>
        <w:t>2</w:t>
      </w:r>
      <w:r w:rsidRPr="00031F72">
        <w:rPr>
          <w:b/>
          <w:bCs/>
          <w:color w:val="800000"/>
          <w:lang w:val="en-GB"/>
        </w:rPr>
        <w:t>, P</w:t>
      </w:r>
      <w:r w:rsidRPr="00031F72">
        <w:rPr>
          <w:b/>
          <w:bCs/>
          <w:color w:val="800000"/>
          <w:vertAlign w:val="subscript"/>
          <w:lang w:val="en-GB"/>
        </w:rPr>
        <w:t>2</w:t>
      </w:r>
      <w:r w:rsidRPr="00031F72">
        <w:rPr>
          <w:b/>
          <w:bCs/>
          <w:color w:val="800000"/>
          <w:lang w:val="en-GB"/>
        </w:rPr>
        <w:t>O</w:t>
      </w:r>
      <w:r w:rsidRPr="00031F72">
        <w:rPr>
          <w:b/>
          <w:bCs/>
          <w:color w:val="800000"/>
          <w:vertAlign w:val="subscript"/>
          <w:lang w:val="en-GB"/>
        </w:rPr>
        <w:t>5</w:t>
      </w:r>
      <w:r w:rsidRPr="00031F72">
        <w:rPr>
          <w:b/>
          <w:bCs/>
          <w:color w:val="800000"/>
          <w:lang w:val="en-GB"/>
        </w:rPr>
        <w:t xml:space="preserve"> </w:t>
      </w:r>
      <w:r w:rsidR="00547EF9">
        <w:rPr>
          <w:b/>
          <w:bCs/>
          <w:color w:val="800000"/>
          <w:lang w:val="en-GB"/>
        </w:rPr>
        <w:t xml:space="preserve">and </w:t>
      </w:r>
      <w:r w:rsidRPr="00031F72">
        <w:rPr>
          <w:b/>
          <w:bCs/>
          <w:color w:val="800000"/>
          <w:lang w:val="en-GB"/>
        </w:rPr>
        <w:t>CaO) of the calcination control</w:t>
      </w:r>
    </w:p>
    <w:p w:rsidR="00C121FB" w:rsidRPr="00361E6E" w:rsidRDefault="00C121FB" w:rsidP="00C121FB">
      <w:pPr>
        <w:widowControl w:val="0"/>
        <w:tabs>
          <w:tab w:val="left" w:pos="4320"/>
        </w:tabs>
        <w:autoSpaceDE w:val="0"/>
        <w:autoSpaceDN w:val="0"/>
        <w:adjustRightInd w:val="0"/>
        <w:spacing w:before="240" w:after="240"/>
        <w:jc w:val="both"/>
        <w:rPr>
          <w:b/>
          <w:bCs/>
          <w:lang w:val="en-GB"/>
        </w:rPr>
      </w:pPr>
      <w:r>
        <w:rPr>
          <w:b/>
          <w:bCs/>
          <w:lang w:val="en-GB"/>
        </w:rPr>
        <w:t xml:space="preserve">3. 1. </w:t>
      </w:r>
      <w:r w:rsidR="007F138A">
        <w:rPr>
          <w:b/>
          <w:bCs/>
          <w:lang w:val="en-GB"/>
        </w:rPr>
        <w:t>Experimental procedure</w:t>
      </w:r>
    </w:p>
    <w:p w:rsidR="00C121FB" w:rsidRDefault="00C121FB" w:rsidP="00C121FB">
      <w:pPr>
        <w:tabs>
          <w:tab w:val="left" w:pos="4320"/>
        </w:tabs>
        <w:ind w:firstLine="284"/>
        <w:jc w:val="both"/>
        <w:rPr>
          <w:lang w:val="en-GB"/>
        </w:rPr>
      </w:pPr>
      <w:r w:rsidRPr="00361E6E">
        <w:rPr>
          <w:lang w:val="en-GB"/>
        </w:rPr>
        <w:t xml:space="preserve">The optimization of the time’s stay and the calcination temperature was carried out according to the protocols </w:t>
      </w:r>
      <w:r>
        <w:rPr>
          <w:lang w:val="en-GB"/>
        </w:rPr>
        <w:t>“</w:t>
      </w:r>
      <w:smartTag w:uri="urn:schemas-microsoft-com:office:smarttags" w:element="metricconverter">
        <w:smartTagPr>
          <w:attr w:name="ProductID" w:val="1”"/>
        </w:smartTagPr>
        <w:r w:rsidRPr="00361E6E">
          <w:rPr>
            <w:lang w:val="en-GB"/>
          </w:rPr>
          <w:t>1</w:t>
        </w:r>
        <w:r>
          <w:rPr>
            <w:lang w:val="en-GB"/>
          </w:rPr>
          <w:t>”</w:t>
        </w:r>
      </w:smartTag>
      <w:r w:rsidRPr="00361E6E">
        <w:rPr>
          <w:lang w:val="en-GB"/>
        </w:rPr>
        <w:t>, while following the variation of the main contents of C</w:t>
      </w:r>
      <w:r w:rsidRPr="00361E6E">
        <w:rPr>
          <w:vertAlign w:val="subscript"/>
          <w:lang w:val="en-GB"/>
        </w:rPr>
        <w:t>org</w:t>
      </w:r>
      <w:r w:rsidRPr="00361E6E">
        <w:rPr>
          <w:lang w:val="en-GB"/>
        </w:rPr>
        <w:t>, CO</w:t>
      </w:r>
      <w:r w:rsidRPr="00361E6E">
        <w:rPr>
          <w:vertAlign w:val="subscript"/>
          <w:lang w:val="en-GB"/>
        </w:rPr>
        <w:t>2</w:t>
      </w:r>
      <w:r w:rsidRPr="00361E6E">
        <w:rPr>
          <w:lang w:val="en-GB"/>
        </w:rPr>
        <w:t>, P</w:t>
      </w:r>
      <w:r w:rsidRPr="00361E6E">
        <w:rPr>
          <w:vertAlign w:val="subscript"/>
          <w:lang w:val="en-GB"/>
        </w:rPr>
        <w:t>2</w:t>
      </w:r>
      <w:r w:rsidRPr="00361E6E">
        <w:rPr>
          <w:lang w:val="en-GB"/>
        </w:rPr>
        <w:t>O</w:t>
      </w:r>
      <w:r w:rsidRPr="00361E6E">
        <w:rPr>
          <w:vertAlign w:val="subscript"/>
          <w:lang w:val="en-GB"/>
        </w:rPr>
        <w:t>5</w:t>
      </w:r>
      <w:r w:rsidRPr="00361E6E">
        <w:rPr>
          <w:lang w:val="en-GB"/>
        </w:rPr>
        <w:t xml:space="preserve"> and CaO, in </w:t>
      </w:r>
      <w:r>
        <w:rPr>
          <w:lang w:val="en-GB"/>
        </w:rPr>
        <w:t>the calcined samples. The tests</w:t>
      </w:r>
      <w:r w:rsidRPr="00361E6E">
        <w:rPr>
          <w:lang w:val="en-GB"/>
        </w:rPr>
        <w:t xml:space="preserve"> were made in l</w:t>
      </w:r>
      <w:r>
        <w:rPr>
          <w:lang w:val="en-GB"/>
        </w:rPr>
        <w:t>aboratory. Representative</w:t>
      </w:r>
      <w:r w:rsidRPr="00361E6E">
        <w:rPr>
          <w:lang w:val="en-GB"/>
        </w:rPr>
        <w:t xml:space="preserve"> phosphate samples from the Ganntour basin with granulometry ranging between</w:t>
      </w:r>
      <w:r>
        <w:rPr>
          <w:lang w:val="en-GB"/>
        </w:rPr>
        <w:t xml:space="preserve"> 40</w:t>
      </w:r>
      <w:r w:rsidR="00E75890">
        <w:rPr>
          <w:lang w:val="en-GB"/>
        </w:rPr>
        <w:t xml:space="preserve"> </w:t>
      </w:r>
      <w:r>
        <w:rPr>
          <w:lang w:val="en-GB"/>
        </w:rPr>
        <w:t>μm and 500</w:t>
      </w:r>
      <w:r w:rsidR="00E75890">
        <w:rPr>
          <w:lang w:val="en-GB"/>
        </w:rPr>
        <w:t xml:space="preserve"> </w:t>
      </w:r>
      <w:r>
        <w:rPr>
          <w:lang w:val="en-GB"/>
        </w:rPr>
        <w:t>μm</w:t>
      </w:r>
      <w:r w:rsidRPr="00361E6E">
        <w:rPr>
          <w:lang w:val="en-GB"/>
        </w:rPr>
        <w:t xml:space="preserve"> are placed in a vertical cylindrical stainless enclosure (fixed bed), then calcined in an electric oven with adjustable temperature.</w:t>
      </w:r>
    </w:p>
    <w:p w:rsidR="00C121FB" w:rsidRPr="002221D0" w:rsidRDefault="00C121FB" w:rsidP="00C121FB">
      <w:pPr>
        <w:tabs>
          <w:tab w:val="left" w:pos="4320"/>
        </w:tabs>
        <w:jc w:val="both"/>
        <w:rPr>
          <w:color w:val="FF0000"/>
          <w:lang w:val="en-GB"/>
        </w:rPr>
      </w:pPr>
      <w:r w:rsidRPr="002221D0">
        <w:rPr>
          <w:b/>
          <w:bCs/>
          <w:color w:val="FF0000"/>
          <w:lang w:val="en-GB"/>
        </w:rPr>
        <w:t xml:space="preserve">Protocol “1”: </w:t>
      </w:r>
      <w:r w:rsidRPr="002221D0">
        <w:rPr>
          <w:color w:val="FF0000"/>
          <w:lang w:val="en-GB"/>
        </w:rPr>
        <w:t>This protocol was to follow the evolution of the principal constituents of control during calcination enrichment. The tests were performed on representative samples classified as phosphate was placed in a vertical stainless steel cylindrical chamber (fixed bed), then in an electric oven with adjustable temperature. Every five minutes, a sample is taken to analyze the chemical compositions of apatite (C</w:t>
      </w:r>
      <w:r w:rsidRPr="002221D0">
        <w:rPr>
          <w:color w:val="FF0000"/>
          <w:vertAlign w:val="subscript"/>
          <w:lang w:val="en-GB"/>
        </w:rPr>
        <w:t>org</w:t>
      </w:r>
      <w:r w:rsidRPr="002221D0">
        <w:rPr>
          <w:color w:val="FF0000"/>
          <w:lang w:val="en-GB"/>
        </w:rPr>
        <w:t>, CO</w:t>
      </w:r>
      <w:r w:rsidRPr="002221D0">
        <w:rPr>
          <w:color w:val="FF0000"/>
          <w:vertAlign w:val="subscript"/>
          <w:lang w:val="en-GB"/>
        </w:rPr>
        <w:t>2</w:t>
      </w:r>
      <w:r w:rsidRPr="002221D0">
        <w:rPr>
          <w:color w:val="FF0000"/>
          <w:lang w:val="en-GB"/>
        </w:rPr>
        <w:t>, P</w:t>
      </w:r>
      <w:r w:rsidRPr="002221D0">
        <w:rPr>
          <w:color w:val="FF0000"/>
          <w:vertAlign w:val="subscript"/>
          <w:lang w:val="en-GB"/>
        </w:rPr>
        <w:t>2</w:t>
      </w:r>
      <w:r w:rsidRPr="002221D0">
        <w:rPr>
          <w:color w:val="FF0000"/>
          <w:lang w:val="en-GB"/>
        </w:rPr>
        <w:t>O</w:t>
      </w:r>
      <w:r w:rsidRPr="002221D0">
        <w:rPr>
          <w:color w:val="FF0000"/>
          <w:vertAlign w:val="subscript"/>
          <w:lang w:val="en-GB"/>
        </w:rPr>
        <w:t>5</w:t>
      </w:r>
      <w:r w:rsidRPr="002221D0">
        <w:rPr>
          <w:color w:val="FF0000"/>
          <w:lang w:val="en-GB"/>
        </w:rPr>
        <w:t xml:space="preserve"> and CaO) of the ore at different temperatures (</w:t>
      </w:r>
      <w:smartTag w:uri="urn:schemas-microsoft-com:office:smarttags" w:element="metricconverter">
        <w:smartTagPr>
          <w:attr w:name="ProductID" w:val="600ﾰC"/>
        </w:smartTagPr>
        <w:r w:rsidRPr="002221D0">
          <w:rPr>
            <w:color w:val="FF0000"/>
            <w:lang w:val="en-GB"/>
          </w:rPr>
          <w:t>600°C</w:t>
        </w:r>
      </w:smartTag>
      <w:r w:rsidRPr="002221D0">
        <w:rPr>
          <w:color w:val="FF0000"/>
          <w:lang w:val="en-GB"/>
        </w:rPr>
        <w:t xml:space="preserve">, </w:t>
      </w:r>
      <w:smartTag w:uri="urn:schemas-microsoft-com:office:smarttags" w:element="metricconverter">
        <w:smartTagPr>
          <w:attr w:name="ProductID" w:val="650ﾰC"/>
        </w:smartTagPr>
        <w:r w:rsidRPr="002221D0">
          <w:rPr>
            <w:color w:val="FF0000"/>
            <w:lang w:val="en-GB"/>
          </w:rPr>
          <w:t>650°C</w:t>
        </w:r>
      </w:smartTag>
      <w:r w:rsidRPr="002221D0">
        <w:rPr>
          <w:color w:val="FF0000"/>
          <w:lang w:val="en-GB"/>
        </w:rPr>
        <w:t xml:space="preserve">, </w:t>
      </w:r>
      <w:smartTag w:uri="urn:schemas-microsoft-com:office:smarttags" w:element="metricconverter">
        <w:smartTagPr>
          <w:attr w:name="ProductID" w:val="700ﾰC"/>
        </w:smartTagPr>
        <w:r w:rsidRPr="002221D0">
          <w:rPr>
            <w:color w:val="FF0000"/>
            <w:lang w:val="en-GB"/>
          </w:rPr>
          <w:t>700°C</w:t>
        </w:r>
      </w:smartTag>
      <w:r w:rsidRPr="002221D0">
        <w:rPr>
          <w:color w:val="FF0000"/>
          <w:lang w:val="en-GB"/>
        </w:rPr>
        <w:t xml:space="preserve">, </w:t>
      </w:r>
      <w:smartTag w:uri="urn:schemas-microsoft-com:office:smarttags" w:element="metricconverter">
        <w:smartTagPr>
          <w:attr w:name="ProductID" w:val="750ﾰC"/>
        </w:smartTagPr>
        <w:r w:rsidRPr="002221D0">
          <w:rPr>
            <w:color w:val="FF0000"/>
            <w:lang w:val="en-GB"/>
          </w:rPr>
          <w:t>750°C</w:t>
        </w:r>
      </w:smartTag>
      <w:r w:rsidRPr="002221D0">
        <w:rPr>
          <w:color w:val="FF0000"/>
          <w:lang w:val="en-GB"/>
        </w:rPr>
        <w:t xml:space="preserve">, </w:t>
      </w:r>
      <w:smartTag w:uri="urn:schemas-microsoft-com:office:smarttags" w:element="metricconverter">
        <w:smartTagPr>
          <w:attr w:name="ProductID" w:val="800ﾰC"/>
        </w:smartTagPr>
        <w:r w:rsidRPr="002221D0">
          <w:rPr>
            <w:color w:val="FF0000"/>
            <w:lang w:val="en-GB"/>
          </w:rPr>
          <w:t>800°C</w:t>
        </w:r>
      </w:smartTag>
      <w:r w:rsidRPr="002221D0">
        <w:rPr>
          <w:color w:val="FF0000"/>
          <w:lang w:val="en-GB"/>
        </w:rPr>
        <w:t xml:space="preserve">, </w:t>
      </w:r>
      <w:smartTag w:uri="urn:schemas-microsoft-com:office:smarttags" w:element="metricconverter">
        <w:smartTagPr>
          <w:attr w:name="ProductID" w:val="850ﾰC"/>
        </w:smartTagPr>
        <w:r w:rsidRPr="002221D0">
          <w:rPr>
            <w:color w:val="FF0000"/>
            <w:lang w:val="en-GB"/>
          </w:rPr>
          <w:t>850°C</w:t>
        </w:r>
      </w:smartTag>
      <w:r w:rsidRPr="002221D0">
        <w:rPr>
          <w:color w:val="FF0000"/>
          <w:lang w:val="en-GB"/>
        </w:rPr>
        <w:t xml:space="preserve"> and </w:t>
      </w:r>
      <w:smartTag w:uri="urn:schemas-microsoft-com:office:smarttags" w:element="metricconverter">
        <w:smartTagPr>
          <w:attr w:name="ProductID" w:val="900ﾰC"/>
        </w:smartTagPr>
        <w:r w:rsidRPr="002221D0">
          <w:rPr>
            <w:color w:val="FF0000"/>
            <w:lang w:val="en-GB"/>
          </w:rPr>
          <w:t>900°C</w:t>
        </w:r>
      </w:smartTag>
      <w:r w:rsidRPr="002221D0">
        <w:rPr>
          <w:color w:val="FF0000"/>
          <w:lang w:val="en-GB"/>
        </w:rPr>
        <w:t>) and the total time is 40 minutes.</w:t>
      </w:r>
    </w:p>
    <w:p w:rsidR="002F248D" w:rsidRPr="00361E6E" w:rsidRDefault="002F248D" w:rsidP="002F248D">
      <w:pPr>
        <w:tabs>
          <w:tab w:val="left" w:pos="4320"/>
        </w:tabs>
        <w:ind w:firstLine="284"/>
        <w:jc w:val="both"/>
        <w:rPr>
          <w:lang w:val="en-US"/>
        </w:rPr>
      </w:pPr>
      <w:r w:rsidRPr="00361E6E">
        <w:rPr>
          <w:lang w:val="en-US"/>
        </w:rPr>
        <w:t>Before the chemical analysis compositions C</w:t>
      </w:r>
      <w:r w:rsidRPr="00361E6E">
        <w:rPr>
          <w:vertAlign w:val="subscript"/>
          <w:lang w:val="en-US"/>
        </w:rPr>
        <w:t>org</w:t>
      </w:r>
      <w:r w:rsidRPr="00361E6E">
        <w:rPr>
          <w:lang w:val="en-US"/>
        </w:rPr>
        <w:t>, CO</w:t>
      </w:r>
      <w:r w:rsidRPr="00361E6E">
        <w:rPr>
          <w:vertAlign w:val="subscript"/>
          <w:lang w:val="en-US"/>
        </w:rPr>
        <w:t>2</w:t>
      </w:r>
      <w:r w:rsidRPr="00361E6E">
        <w:rPr>
          <w:lang w:val="en-US"/>
        </w:rPr>
        <w:t>, P</w:t>
      </w:r>
      <w:r w:rsidRPr="00361E6E">
        <w:rPr>
          <w:vertAlign w:val="subscript"/>
          <w:lang w:val="en-US"/>
        </w:rPr>
        <w:t>2</w:t>
      </w:r>
      <w:r w:rsidRPr="00361E6E">
        <w:rPr>
          <w:lang w:val="en-US"/>
        </w:rPr>
        <w:t>O</w:t>
      </w:r>
      <w:r w:rsidRPr="00361E6E">
        <w:rPr>
          <w:vertAlign w:val="subscript"/>
          <w:lang w:val="en-US"/>
        </w:rPr>
        <w:t>5</w:t>
      </w:r>
      <w:r w:rsidRPr="00361E6E">
        <w:rPr>
          <w:lang w:val="en-US"/>
        </w:rPr>
        <w:t xml:space="preserve"> and Ca</w:t>
      </w:r>
      <w:r>
        <w:rPr>
          <w:lang w:val="en-US"/>
        </w:rPr>
        <w:t>O, we proceed to the extinction,</w:t>
      </w:r>
      <w:r w:rsidRPr="00361E6E">
        <w:rPr>
          <w:lang w:val="en-US"/>
        </w:rPr>
        <w:t xml:space="preserve"> by injection of the air and by closing the bed by a sieve of 40 </w:t>
      </w:r>
      <w:r w:rsidRPr="00361E6E">
        <w:sym w:font="Symbol" w:char="F06D"/>
      </w:r>
      <w:r w:rsidRPr="00361E6E">
        <w:rPr>
          <w:lang w:val="en-US"/>
        </w:rPr>
        <w:t>m diameter to remove the volatile matter adsorbed and the size fraction less than 40</w:t>
      </w:r>
      <w:r w:rsidRPr="00361E6E">
        <w:sym w:font="Symbol" w:char="F06D"/>
      </w:r>
      <w:r w:rsidRPr="00361E6E">
        <w:rPr>
          <w:lang w:val="en-US"/>
        </w:rPr>
        <w:t>m of which the phosphorus wh</w:t>
      </w:r>
      <w:r>
        <w:rPr>
          <w:lang w:val="en-US"/>
        </w:rPr>
        <w:t>ose</w:t>
      </w:r>
      <w:r w:rsidRPr="00361E6E">
        <w:rPr>
          <w:lang w:val="en-US"/>
        </w:rPr>
        <w:t xml:space="preserve"> concentration is low.</w:t>
      </w:r>
    </w:p>
    <w:p w:rsidR="00C121FB" w:rsidRDefault="00B53EA1" w:rsidP="00C26827">
      <w:pPr>
        <w:widowControl w:val="0"/>
        <w:tabs>
          <w:tab w:val="left" w:pos="4320"/>
        </w:tabs>
        <w:autoSpaceDE w:val="0"/>
        <w:autoSpaceDN w:val="0"/>
        <w:adjustRightInd w:val="0"/>
        <w:spacing w:before="120" w:after="120"/>
        <w:jc w:val="both"/>
        <w:rPr>
          <w:b/>
          <w:bCs/>
          <w:lang w:val="en-GB"/>
        </w:rPr>
      </w:pPr>
      <w:r>
        <w:rPr>
          <w:b/>
          <w:bCs/>
          <w:lang w:val="en-GB"/>
        </w:rPr>
        <w:t>3. 2</w:t>
      </w:r>
      <w:r w:rsidR="00C26827">
        <w:rPr>
          <w:b/>
          <w:bCs/>
          <w:lang w:val="en-GB"/>
        </w:rPr>
        <w:t>. Calcination, e</w:t>
      </w:r>
      <w:r w:rsidR="00C26827" w:rsidRPr="00372966">
        <w:rPr>
          <w:b/>
          <w:bCs/>
          <w:lang w:val="en-GB"/>
        </w:rPr>
        <w:t>xperimental results and discussions</w:t>
      </w:r>
    </w:p>
    <w:p w:rsidR="00E50619" w:rsidRPr="00247085" w:rsidRDefault="00E50619" w:rsidP="00E50619">
      <w:pPr>
        <w:widowControl w:val="0"/>
        <w:tabs>
          <w:tab w:val="left" w:pos="4320"/>
        </w:tabs>
        <w:autoSpaceDE w:val="0"/>
        <w:autoSpaceDN w:val="0"/>
        <w:adjustRightInd w:val="0"/>
        <w:ind w:firstLine="284"/>
        <w:jc w:val="both"/>
        <w:rPr>
          <w:lang w:val="en-US"/>
        </w:rPr>
      </w:pPr>
      <w:r w:rsidRPr="00361E6E">
        <w:rPr>
          <w:lang w:val="en-GB"/>
        </w:rPr>
        <w:t>In this experimental st</w:t>
      </w:r>
      <w:r>
        <w:rPr>
          <w:lang w:val="en-GB"/>
        </w:rPr>
        <w:t>udy, we studied the time’s stay and</w:t>
      </w:r>
      <w:r w:rsidRPr="00361E6E">
        <w:rPr>
          <w:lang w:val="en-GB"/>
        </w:rPr>
        <w:t xml:space="preserve"> the calcination’s temperature in order to optimize energy intended to the calcination without acting on the phosphate enrichment</w:t>
      </w:r>
      <w:r w:rsidR="00247085">
        <w:rPr>
          <w:lang w:val="en-GB"/>
        </w:rPr>
        <w:t xml:space="preserve"> (fig</w:t>
      </w:r>
      <w:r w:rsidR="00C05A9C">
        <w:rPr>
          <w:lang w:val="en-GB"/>
        </w:rPr>
        <w:t xml:space="preserve"> </w:t>
      </w:r>
      <w:r w:rsidR="00C05A9C" w:rsidRPr="00247085">
        <w:rPr>
          <w:lang w:val="en-US"/>
        </w:rPr>
        <w:t>6</w:t>
      </w:r>
      <w:r w:rsidR="00AB5F5C" w:rsidRPr="00247085">
        <w:rPr>
          <w:lang w:val="en-US"/>
        </w:rPr>
        <w:t>)</w:t>
      </w:r>
      <w:r w:rsidRPr="00247085">
        <w:rPr>
          <w:lang w:val="en-US"/>
        </w:rPr>
        <w:t>.</w:t>
      </w:r>
    </w:p>
    <w:p w:rsidR="00412743" w:rsidRPr="004F676E" w:rsidRDefault="00F95CCC" w:rsidP="004F676E">
      <w:pPr>
        <w:widowControl w:val="0"/>
        <w:tabs>
          <w:tab w:val="left" w:pos="4320"/>
        </w:tabs>
        <w:autoSpaceDE w:val="0"/>
        <w:autoSpaceDN w:val="0"/>
        <w:adjustRightInd w:val="0"/>
        <w:spacing w:before="120" w:after="120"/>
        <w:rPr>
          <w:sz w:val="20"/>
          <w:szCs w:val="20"/>
          <w:lang w:val="en-US"/>
        </w:rPr>
      </w:pPr>
      <w:r w:rsidRPr="00761514">
        <w:object w:dxaOrig="6644" w:dyaOrig="4295">
          <v:shape id="_x0000_i1028" type="#_x0000_t75" style="width:226.95pt;height:198.15pt" o:ole="" o:preferrelative="f">
            <v:imagedata r:id="rId19" o:title=""/>
            <o:lock v:ext="edit" aspectratio="f"/>
          </v:shape>
          <o:OLEObject Type="Embed" ProgID="Origin50.Graph" ShapeID="_x0000_i1028" DrawAspect="Content" ObjectID="_1622669533" r:id="rId20"/>
        </w:object>
      </w:r>
      <w:r w:rsidRPr="00761514">
        <w:object w:dxaOrig="6368" w:dyaOrig="4524">
          <v:shape id="_x0000_i1029" type="#_x0000_t75" style="width:226.95pt;height:198.15pt" o:ole="" o:preferrelative="f">
            <v:imagedata r:id="rId21" o:title=""/>
            <o:lock v:ext="edit" aspectratio="f"/>
          </v:shape>
          <o:OLEObject Type="Embed" ProgID="Origin50.Graph" ShapeID="_x0000_i1029" DrawAspect="Content" ObjectID="_1622669534" r:id="rId22"/>
        </w:object>
      </w:r>
      <w:r w:rsidRPr="00761514">
        <w:object w:dxaOrig="6683" w:dyaOrig="4483">
          <v:shape id="_x0000_i1030" type="#_x0000_t75" style="width:226.95pt;height:198.15pt" o:ole="" o:preferrelative="f">
            <v:imagedata r:id="rId23" o:title=""/>
            <o:lock v:ext="edit" aspectratio="f"/>
          </v:shape>
          <o:OLEObject Type="Embed" ProgID="Origin50.Graph" ShapeID="_x0000_i1030" DrawAspect="Content" ObjectID="_1622669535" r:id="rId24"/>
        </w:object>
      </w:r>
      <w:r w:rsidRPr="00761514">
        <w:object w:dxaOrig="6631" w:dyaOrig="4665">
          <v:shape id="_x0000_i1031" type="#_x0000_t75" style="width:226.95pt;height:198.15pt" o:ole="" o:preferrelative="f">
            <v:imagedata r:id="rId25" o:title=""/>
            <o:lock v:ext="edit" aspectratio="f"/>
          </v:shape>
          <o:OLEObject Type="Embed" ProgID="Origin50.Graph" ShapeID="_x0000_i1031" DrawAspect="Content" ObjectID="_1622669536" r:id="rId26"/>
        </w:object>
      </w:r>
      <w:r w:rsidR="00412743" w:rsidRPr="00614D05">
        <w:rPr>
          <w:b/>
          <w:bCs/>
          <w:color w:val="FF0000"/>
          <w:sz w:val="20"/>
          <w:szCs w:val="20"/>
        </w:rPr>
        <w:t>Figure</w:t>
      </w:r>
      <w:r w:rsidR="00C05A9C" w:rsidRPr="00614D05">
        <w:rPr>
          <w:b/>
          <w:bCs/>
          <w:color w:val="FF0000"/>
          <w:sz w:val="20"/>
          <w:szCs w:val="20"/>
        </w:rPr>
        <w:t>.</w:t>
      </w:r>
      <w:r w:rsidR="00412743" w:rsidRPr="00614D05">
        <w:rPr>
          <w:b/>
          <w:bCs/>
          <w:color w:val="FF0000"/>
          <w:sz w:val="20"/>
          <w:szCs w:val="20"/>
        </w:rPr>
        <w:t xml:space="preserve"> </w:t>
      </w:r>
      <w:r w:rsidR="00C05A9C" w:rsidRPr="00614D05">
        <w:rPr>
          <w:b/>
          <w:bCs/>
          <w:color w:val="FF0000"/>
          <w:sz w:val="20"/>
          <w:szCs w:val="20"/>
          <w:lang w:val="en-US"/>
        </w:rPr>
        <w:t>6</w:t>
      </w:r>
      <w:r w:rsidR="00412743" w:rsidRPr="00614D05">
        <w:rPr>
          <w:b/>
          <w:bCs/>
          <w:color w:val="FF0000"/>
          <w:sz w:val="20"/>
          <w:szCs w:val="20"/>
          <w:lang w:val="en-US"/>
        </w:rPr>
        <w:t xml:space="preserve">: </w:t>
      </w:r>
      <w:r w:rsidR="004F676E" w:rsidRPr="00614D05">
        <w:rPr>
          <w:color w:val="FF0000"/>
          <w:sz w:val="20"/>
          <w:szCs w:val="20"/>
          <w:lang w:val="en-US"/>
        </w:rPr>
        <w:t>Curves of</w:t>
      </w:r>
      <w:r w:rsidR="00412743" w:rsidRPr="00614D05">
        <w:rPr>
          <w:color w:val="FF0000"/>
          <w:sz w:val="20"/>
          <w:szCs w:val="20"/>
          <w:lang w:val="en-US"/>
        </w:rPr>
        <w:t xml:space="preserve"> variation</w:t>
      </w:r>
      <w:r w:rsidRPr="00614D05">
        <w:rPr>
          <w:color w:val="FF0000"/>
          <w:sz w:val="20"/>
          <w:szCs w:val="20"/>
          <w:lang w:val="en-US"/>
        </w:rPr>
        <w:t>s</w:t>
      </w:r>
      <w:r w:rsidR="00412743" w:rsidRPr="00614D05">
        <w:rPr>
          <w:color w:val="FF0000"/>
          <w:sz w:val="20"/>
          <w:szCs w:val="20"/>
          <w:lang w:val="en-US"/>
        </w:rPr>
        <w:t xml:space="preserve"> </w:t>
      </w:r>
      <w:r w:rsidR="004F676E" w:rsidRPr="00614D05">
        <w:rPr>
          <w:color w:val="FF0000"/>
          <w:sz w:val="20"/>
          <w:szCs w:val="20"/>
          <w:lang w:val="en-US"/>
        </w:rPr>
        <w:t xml:space="preserve">in </w:t>
      </w:r>
      <w:r w:rsidRPr="00614D05">
        <w:rPr>
          <w:color w:val="FF0000"/>
          <w:sz w:val="20"/>
          <w:szCs w:val="20"/>
          <w:lang w:val="en-US"/>
        </w:rPr>
        <w:t>C</w:t>
      </w:r>
      <w:r w:rsidRPr="00614D05">
        <w:rPr>
          <w:color w:val="FF0000"/>
          <w:sz w:val="20"/>
          <w:szCs w:val="20"/>
          <w:vertAlign w:val="subscript"/>
          <w:lang w:val="en-US"/>
        </w:rPr>
        <w:t>org</w:t>
      </w:r>
      <w:r w:rsidRPr="00614D05">
        <w:rPr>
          <w:color w:val="FF0000"/>
          <w:sz w:val="20"/>
          <w:szCs w:val="20"/>
          <w:lang w:val="en-US"/>
        </w:rPr>
        <w:t>, CO</w:t>
      </w:r>
      <w:r w:rsidRPr="00614D05">
        <w:rPr>
          <w:color w:val="FF0000"/>
          <w:sz w:val="20"/>
          <w:szCs w:val="20"/>
          <w:vertAlign w:val="subscript"/>
          <w:lang w:val="en-US"/>
        </w:rPr>
        <w:t>2</w:t>
      </w:r>
      <w:r w:rsidRPr="00614D05">
        <w:rPr>
          <w:color w:val="FF0000"/>
          <w:sz w:val="20"/>
          <w:szCs w:val="20"/>
          <w:lang w:val="en-US"/>
        </w:rPr>
        <w:t>, P</w:t>
      </w:r>
      <w:r w:rsidRPr="00614D05">
        <w:rPr>
          <w:color w:val="FF0000"/>
          <w:sz w:val="20"/>
          <w:szCs w:val="20"/>
          <w:vertAlign w:val="subscript"/>
          <w:lang w:val="en-US"/>
        </w:rPr>
        <w:t>2</w:t>
      </w:r>
      <w:r w:rsidRPr="00614D05">
        <w:rPr>
          <w:color w:val="FF0000"/>
          <w:sz w:val="20"/>
          <w:szCs w:val="20"/>
          <w:lang w:val="en-US"/>
        </w:rPr>
        <w:t>O</w:t>
      </w:r>
      <w:r w:rsidRPr="00614D05">
        <w:rPr>
          <w:color w:val="FF0000"/>
          <w:sz w:val="20"/>
          <w:szCs w:val="20"/>
          <w:vertAlign w:val="subscript"/>
          <w:lang w:val="en-US"/>
        </w:rPr>
        <w:t>5</w:t>
      </w:r>
      <w:r w:rsidRPr="00614D05">
        <w:rPr>
          <w:color w:val="FF0000"/>
          <w:sz w:val="20"/>
          <w:szCs w:val="20"/>
          <w:lang w:val="en-US"/>
        </w:rPr>
        <w:t xml:space="preserve"> and CaO</w:t>
      </w:r>
      <w:r w:rsidR="00412743" w:rsidRPr="00614D05">
        <w:rPr>
          <w:color w:val="FF0000"/>
          <w:sz w:val="20"/>
          <w:szCs w:val="20"/>
          <w:lang w:val="en-US"/>
        </w:rPr>
        <w:t xml:space="preserve"> </w:t>
      </w:r>
      <w:r w:rsidR="004F676E" w:rsidRPr="00614D05">
        <w:rPr>
          <w:color w:val="FF0000"/>
          <w:sz w:val="20"/>
          <w:szCs w:val="20"/>
          <w:lang w:val="en-US"/>
        </w:rPr>
        <w:t>with time and temperature</w:t>
      </w:r>
    </w:p>
    <w:p w:rsidR="00EF5FF2" w:rsidRDefault="00547EF9" w:rsidP="00EF5FF2">
      <w:pPr>
        <w:widowControl w:val="0"/>
        <w:tabs>
          <w:tab w:val="left" w:pos="4320"/>
        </w:tabs>
        <w:autoSpaceDE w:val="0"/>
        <w:autoSpaceDN w:val="0"/>
        <w:adjustRightInd w:val="0"/>
        <w:ind w:firstLine="284"/>
        <w:jc w:val="both"/>
        <w:rPr>
          <w:lang w:val="en-GB"/>
        </w:rPr>
      </w:pPr>
      <w:r>
        <w:rPr>
          <w:lang w:val="en-GB"/>
        </w:rPr>
        <w:t>The figure 6</w:t>
      </w:r>
      <w:r w:rsidR="00EF5FF2" w:rsidRPr="00361E6E">
        <w:rPr>
          <w:lang w:val="en-GB"/>
        </w:rPr>
        <w:t>a shows that the percentage of organic carbon remains constant wi</w:t>
      </w:r>
      <w:r w:rsidR="00EF5FF2">
        <w:rPr>
          <w:lang w:val="en-GB"/>
        </w:rPr>
        <w:t>th its initial concentration (1.</w:t>
      </w:r>
      <w:r w:rsidR="00EF5FF2" w:rsidRPr="00361E6E">
        <w:rPr>
          <w:lang w:val="en-GB"/>
        </w:rPr>
        <w:t xml:space="preserve">4%) when the temperature lies between </w:t>
      </w:r>
      <w:smartTag w:uri="urn:schemas-microsoft-com:office:smarttags" w:element="metricconverter">
        <w:smartTagPr>
          <w:attr w:name="ProductID" w:val="600ﾰC"/>
        </w:smartTagPr>
        <w:r w:rsidR="00EF5FF2" w:rsidRPr="00361E6E">
          <w:rPr>
            <w:lang w:val="en-GB"/>
          </w:rPr>
          <w:t>600°C</w:t>
        </w:r>
      </w:smartTag>
      <w:r w:rsidR="00EF5FF2" w:rsidRPr="00361E6E">
        <w:rPr>
          <w:lang w:val="en-GB"/>
        </w:rPr>
        <w:t xml:space="preserve"> and </w:t>
      </w:r>
      <w:smartTag w:uri="urn:schemas-microsoft-com:office:smarttags" w:element="metricconverter">
        <w:smartTagPr>
          <w:attr w:name="ProductID" w:val="700ﾰC"/>
        </w:smartTagPr>
        <w:r w:rsidR="00EF5FF2" w:rsidRPr="00361E6E">
          <w:rPr>
            <w:lang w:val="en-GB"/>
          </w:rPr>
          <w:t>700°C</w:t>
        </w:r>
      </w:smartTag>
      <w:r w:rsidR="00EF5FF2" w:rsidRPr="00361E6E">
        <w:rPr>
          <w:lang w:val="en-GB"/>
        </w:rPr>
        <w:t xml:space="preserve">. Beyond </w:t>
      </w:r>
      <w:smartTag w:uri="urn:schemas-microsoft-com:office:smarttags" w:element="metricconverter">
        <w:smartTagPr>
          <w:attr w:name="ProductID" w:val="700ﾰC"/>
        </w:smartTagPr>
        <w:r w:rsidR="00EF5FF2" w:rsidRPr="00361E6E">
          <w:rPr>
            <w:lang w:val="en-GB"/>
          </w:rPr>
          <w:t>700°C</w:t>
        </w:r>
      </w:smartTag>
      <w:r w:rsidR="00EF5FF2" w:rsidRPr="00361E6E">
        <w:rPr>
          <w:lang w:val="en-GB"/>
        </w:rPr>
        <w:t xml:space="preserve">, the combustion of the organic matter starts with times of maintenance which decrease with the temperature. This reaction of combustion reaches its stationary limit beyond 30min for the temperatures higher than </w:t>
      </w:r>
      <w:smartTag w:uri="urn:schemas-microsoft-com:office:smarttags" w:element="metricconverter">
        <w:smartTagPr>
          <w:attr w:name="ProductID" w:val="800ﾰC"/>
        </w:smartTagPr>
        <w:r w:rsidR="00EF5FF2" w:rsidRPr="00361E6E">
          <w:rPr>
            <w:lang w:val="en-GB"/>
          </w:rPr>
          <w:t>800°C</w:t>
        </w:r>
      </w:smartTag>
      <w:r w:rsidR="00EF5FF2" w:rsidRPr="00361E6E">
        <w:rPr>
          <w:lang w:val="en-GB"/>
        </w:rPr>
        <w:t>. The content of C</w:t>
      </w:r>
      <w:r w:rsidR="00EF5FF2" w:rsidRPr="00361E6E">
        <w:rPr>
          <w:vertAlign w:val="subscript"/>
          <w:lang w:val="en-GB"/>
        </w:rPr>
        <w:t>org</w:t>
      </w:r>
      <w:r w:rsidR="00EF5FF2" w:rsidRPr="00361E6E">
        <w:rPr>
          <w:lang w:val="en-GB"/>
        </w:rPr>
        <w:t xml:space="preserve"> reached is 0.15%.</w:t>
      </w:r>
    </w:p>
    <w:p w:rsidR="00986BB2" w:rsidRPr="00361E6E" w:rsidRDefault="00547EF9" w:rsidP="00986BB2">
      <w:pPr>
        <w:widowControl w:val="0"/>
        <w:tabs>
          <w:tab w:val="left" w:pos="4320"/>
        </w:tabs>
        <w:autoSpaceDE w:val="0"/>
        <w:autoSpaceDN w:val="0"/>
        <w:adjustRightInd w:val="0"/>
        <w:ind w:firstLine="284"/>
        <w:jc w:val="both"/>
        <w:rPr>
          <w:lang w:val="en-GB"/>
        </w:rPr>
      </w:pPr>
      <w:r>
        <w:rPr>
          <w:lang w:val="en-GB"/>
        </w:rPr>
        <w:t>The figure 6</w:t>
      </w:r>
      <w:r w:rsidR="00986BB2" w:rsidRPr="00361E6E">
        <w:rPr>
          <w:lang w:val="en-GB"/>
        </w:rPr>
        <w:t>b shows that the CO</w:t>
      </w:r>
      <w:r w:rsidR="00986BB2" w:rsidRPr="00361E6E">
        <w:rPr>
          <w:vertAlign w:val="subscript"/>
          <w:lang w:val="en-GB"/>
        </w:rPr>
        <w:t>2</w:t>
      </w:r>
      <w:r w:rsidR="00986BB2" w:rsidRPr="00361E6E">
        <w:rPr>
          <w:lang w:val="en-GB"/>
        </w:rPr>
        <w:t xml:space="preserve"> emission starts after a time’s stay which decrease with the calcination temperature while the speed of reduction in CO</w:t>
      </w:r>
      <w:r w:rsidR="00986BB2" w:rsidRPr="00361E6E">
        <w:rPr>
          <w:vertAlign w:val="subscript"/>
          <w:lang w:val="en-GB"/>
        </w:rPr>
        <w:t>2</w:t>
      </w:r>
      <w:r w:rsidR="00986BB2" w:rsidRPr="00361E6E">
        <w:rPr>
          <w:lang w:val="en-GB"/>
        </w:rPr>
        <w:t xml:space="preserve"> is accentuated. The CO</w:t>
      </w:r>
      <w:r w:rsidR="00986BB2" w:rsidRPr="00361E6E">
        <w:rPr>
          <w:vertAlign w:val="subscript"/>
          <w:lang w:val="en-GB"/>
        </w:rPr>
        <w:t>2</w:t>
      </w:r>
      <w:r w:rsidR="00986BB2" w:rsidRPr="00361E6E">
        <w:rPr>
          <w:lang w:val="en-GB"/>
        </w:rPr>
        <w:t xml:space="preserve"> content reaches a constant value (about 2%) beyond </w:t>
      </w:r>
      <w:smartTag w:uri="urn:schemas-microsoft-com:office:smarttags" w:element="metricconverter">
        <w:smartTagPr>
          <w:attr w:name="ProductID" w:val="800ﾰC"/>
        </w:smartTagPr>
        <w:r w:rsidR="00986BB2" w:rsidRPr="00361E6E">
          <w:rPr>
            <w:lang w:val="en-GB"/>
          </w:rPr>
          <w:t>800°C</w:t>
        </w:r>
      </w:smartTag>
      <w:r w:rsidR="00986BB2" w:rsidRPr="00361E6E">
        <w:rPr>
          <w:lang w:val="en-GB"/>
        </w:rPr>
        <w:t xml:space="preserve"> and from a time of maintenance of 30min.</w:t>
      </w:r>
    </w:p>
    <w:p w:rsidR="007945C0" w:rsidRDefault="00547EF9" w:rsidP="007945C0">
      <w:pPr>
        <w:widowControl w:val="0"/>
        <w:tabs>
          <w:tab w:val="left" w:pos="4320"/>
        </w:tabs>
        <w:autoSpaceDE w:val="0"/>
        <w:autoSpaceDN w:val="0"/>
        <w:adjustRightInd w:val="0"/>
        <w:ind w:firstLine="284"/>
        <w:jc w:val="both"/>
        <w:rPr>
          <w:lang w:val="en-GB"/>
        </w:rPr>
      </w:pPr>
      <w:r>
        <w:rPr>
          <w:lang w:val="en-GB"/>
        </w:rPr>
        <w:t>The figures 6c and 6</w:t>
      </w:r>
      <w:r w:rsidR="007945C0" w:rsidRPr="00361E6E">
        <w:rPr>
          <w:lang w:val="en-GB"/>
        </w:rPr>
        <w:t>d show that the percentage in P</w:t>
      </w:r>
      <w:r w:rsidR="007945C0" w:rsidRPr="00361E6E">
        <w:rPr>
          <w:vertAlign w:val="subscript"/>
          <w:lang w:val="en-GB"/>
        </w:rPr>
        <w:t>2</w:t>
      </w:r>
      <w:r w:rsidR="007945C0" w:rsidRPr="00361E6E">
        <w:rPr>
          <w:lang w:val="en-GB"/>
        </w:rPr>
        <w:t>O</w:t>
      </w:r>
      <w:r w:rsidR="007945C0" w:rsidRPr="00361E6E">
        <w:rPr>
          <w:vertAlign w:val="subscript"/>
          <w:lang w:val="en-GB"/>
        </w:rPr>
        <w:t>5</w:t>
      </w:r>
      <w:r w:rsidR="007945C0" w:rsidRPr="00361E6E">
        <w:rPr>
          <w:lang w:val="en-GB"/>
        </w:rPr>
        <w:t xml:space="preserve"> and CaO var</w:t>
      </w:r>
      <w:r w:rsidR="007945C0">
        <w:rPr>
          <w:lang w:val="en-GB"/>
        </w:rPr>
        <w:t>ies</w:t>
      </w:r>
      <w:r w:rsidR="007945C0" w:rsidRPr="00361E6E">
        <w:rPr>
          <w:lang w:val="en-GB"/>
        </w:rPr>
        <w:t xml:space="preserve"> respectively in the same way according to the temperature and the time of maintains. They reach constant maximum values between </w:t>
      </w:r>
      <w:smartTag w:uri="urn:schemas-microsoft-com:office:smarttags" w:element="metricconverter">
        <w:smartTagPr>
          <w:attr w:name="ProductID" w:val="850ﾰC"/>
        </w:smartTagPr>
        <w:r w:rsidR="007945C0" w:rsidRPr="00361E6E">
          <w:rPr>
            <w:lang w:val="en-GB"/>
          </w:rPr>
          <w:t>850°C</w:t>
        </w:r>
      </w:smartTag>
      <w:r w:rsidR="007945C0" w:rsidRPr="00361E6E">
        <w:rPr>
          <w:lang w:val="en-GB"/>
        </w:rPr>
        <w:t xml:space="preserve"> and </w:t>
      </w:r>
      <w:smartTag w:uri="urn:schemas-microsoft-com:office:smarttags" w:element="metricconverter">
        <w:smartTagPr>
          <w:attr w:name="ProductID" w:val="900ﾰC"/>
        </w:smartTagPr>
        <w:r w:rsidR="007945C0" w:rsidRPr="00361E6E">
          <w:rPr>
            <w:lang w:val="en-GB"/>
          </w:rPr>
          <w:t>900°C</w:t>
        </w:r>
      </w:smartTag>
      <w:r w:rsidR="007945C0">
        <w:rPr>
          <w:lang w:val="en-GB"/>
        </w:rPr>
        <w:t xml:space="preserve"> with a stage of 3</w:t>
      </w:r>
      <w:r w:rsidR="007945C0" w:rsidRPr="00361E6E">
        <w:rPr>
          <w:lang w:val="en-GB"/>
        </w:rPr>
        <w:t>0</w:t>
      </w:r>
      <w:r w:rsidR="007945C0">
        <w:rPr>
          <w:lang w:val="en-GB"/>
        </w:rPr>
        <w:t xml:space="preserve"> </w:t>
      </w:r>
      <w:r w:rsidR="007945C0" w:rsidRPr="00361E6E">
        <w:rPr>
          <w:lang w:val="en-GB"/>
        </w:rPr>
        <w:t xml:space="preserve">min. </w:t>
      </w:r>
      <w:r w:rsidR="007945C0">
        <w:rPr>
          <w:lang w:val="en-GB"/>
        </w:rPr>
        <w:t xml:space="preserve">As the total amount of material will be diminished with the departure of moisture and loss on ignition, the relative amounts </w:t>
      </w:r>
      <w:r w:rsidR="00100431" w:rsidRPr="00361E6E">
        <w:rPr>
          <w:lang w:val="en-GB"/>
        </w:rPr>
        <w:t>of P</w:t>
      </w:r>
      <w:r w:rsidR="00100431" w:rsidRPr="00361E6E">
        <w:rPr>
          <w:vertAlign w:val="subscript"/>
          <w:lang w:val="en-GB"/>
        </w:rPr>
        <w:t>2</w:t>
      </w:r>
      <w:r w:rsidR="00100431" w:rsidRPr="00361E6E">
        <w:rPr>
          <w:lang w:val="en-GB"/>
        </w:rPr>
        <w:t>O</w:t>
      </w:r>
      <w:r w:rsidR="00100431" w:rsidRPr="00361E6E">
        <w:rPr>
          <w:vertAlign w:val="subscript"/>
          <w:lang w:val="en-GB"/>
        </w:rPr>
        <w:t>5</w:t>
      </w:r>
      <w:r w:rsidR="00100431">
        <w:rPr>
          <w:lang w:val="en-GB"/>
        </w:rPr>
        <w:t xml:space="preserve"> and CaO compared to the remaining material, are increased accordingly. </w:t>
      </w:r>
      <w:r w:rsidR="007945C0" w:rsidRPr="00361E6E">
        <w:rPr>
          <w:lang w:val="en-GB"/>
        </w:rPr>
        <w:t>The stationary values reached of P</w:t>
      </w:r>
      <w:r w:rsidR="007945C0" w:rsidRPr="00361E6E">
        <w:rPr>
          <w:vertAlign w:val="subscript"/>
          <w:lang w:val="en-GB"/>
        </w:rPr>
        <w:t>2</w:t>
      </w:r>
      <w:r w:rsidR="007945C0" w:rsidRPr="00361E6E">
        <w:rPr>
          <w:lang w:val="en-GB"/>
        </w:rPr>
        <w:t>O</w:t>
      </w:r>
      <w:r w:rsidR="007945C0" w:rsidRPr="00361E6E">
        <w:rPr>
          <w:vertAlign w:val="subscript"/>
          <w:lang w:val="en-GB"/>
        </w:rPr>
        <w:t>5</w:t>
      </w:r>
      <w:r w:rsidR="007945C0">
        <w:rPr>
          <w:lang w:val="en-GB"/>
        </w:rPr>
        <w:t xml:space="preserve"> and CaO are respectively 34.</w:t>
      </w:r>
      <w:r w:rsidR="00100431">
        <w:rPr>
          <w:lang w:val="en-GB"/>
        </w:rPr>
        <w:t>3% and 54.8</w:t>
      </w:r>
      <w:r w:rsidR="007945C0" w:rsidRPr="00361E6E">
        <w:rPr>
          <w:lang w:val="en-GB"/>
        </w:rPr>
        <w:t>%.</w:t>
      </w:r>
    </w:p>
    <w:p w:rsidR="00563B02" w:rsidRPr="00361E6E" w:rsidRDefault="00563B02" w:rsidP="00563B02">
      <w:pPr>
        <w:widowControl w:val="0"/>
        <w:tabs>
          <w:tab w:val="left" w:pos="4320"/>
        </w:tabs>
        <w:autoSpaceDE w:val="0"/>
        <w:autoSpaceDN w:val="0"/>
        <w:adjustRightInd w:val="0"/>
        <w:spacing w:before="120"/>
        <w:ind w:firstLine="284"/>
        <w:jc w:val="both"/>
        <w:rPr>
          <w:lang w:val="en-GB"/>
        </w:rPr>
      </w:pPr>
      <w:r w:rsidRPr="00361E6E">
        <w:rPr>
          <w:lang w:val="en-GB"/>
        </w:rPr>
        <w:t xml:space="preserve">We conclude that starting from </w:t>
      </w:r>
      <w:smartTag w:uri="urn:schemas-microsoft-com:office:smarttags" w:element="metricconverter">
        <w:smartTagPr>
          <w:attr w:name="ProductID" w:val="800ﾰC"/>
        </w:smartTagPr>
        <w:r w:rsidRPr="00361E6E">
          <w:rPr>
            <w:lang w:val="en-GB"/>
          </w:rPr>
          <w:t>800°C</w:t>
        </w:r>
      </w:smartTag>
      <w:r>
        <w:rPr>
          <w:lang w:val="en-GB"/>
        </w:rPr>
        <w:t xml:space="preserve"> </w:t>
      </w:r>
      <w:r w:rsidRPr="00361E6E">
        <w:rPr>
          <w:lang w:val="en-GB"/>
        </w:rPr>
        <w:t>and with a time’s stay of 30 minutes, the contents of C</w:t>
      </w:r>
      <w:r w:rsidRPr="00361E6E">
        <w:rPr>
          <w:vertAlign w:val="subscript"/>
          <w:lang w:val="en-GB"/>
        </w:rPr>
        <w:t>org</w:t>
      </w:r>
      <w:r w:rsidRPr="00361E6E">
        <w:rPr>
          <w:lang w:val="en-GB"/>
        </w:rPr>
        <w:t>, CO</w:t>
      </w:r>
      <w:r w:rsidRPr="00361E6E">
        <w:rPr>
          <w:vertAlign w:val="subscript"/>
          <w:lang w:val="en-GB"/>
        </w:rPr>
        <w:t>2</w:t>
      </w:r>
      <w:r w:rsidRPr="00361E6E">
        <w:rPr>
          <w:lang w:val="en-GB"/>
        </w:rPr>
        <w:t>, P</w:t>
      </w:r>
      <w:r w:rsidRPr="00361E6E">
        <w:rPr>
          <w:vertAlign w:val="subscript"/>
          <w:lang w:val="en-GB"/>
        </w:rPr>
        <w:t>2</w:t>
      </w:r>
      <w:r w:rsidRPr="00361E6E">
        <w:rPr>
          <w:lang w:val="en-GB"/>
        </w:rPr>
        <w:t>O</w:t>
      </w:r>
      <w:r w:rsidRPr="00361E6E">
        <w:rPr>
          <w:vertAlign w:val="subscript"/>
          <w:lang w:val="en-GB"/>
        </w:rPr>
        <w:t>5</w:t>
      </w:r>
      <w:r w:rsidRPr="00361E6E">
        <w:rPr>
          <w:lang w:val="en-GB"/>
        </w:rPr>
        <w:t xml:space="preserve"> and CaO become appreciably invariant under the effect of the calcination temperature.</w:t>
      </w:r>
    </w:p>
    <w:p w:rsidR="00593924" w:rsidRPr="00361E6E" w:rsidRDefault="00593924" w:rsidP="00593924">
      <w:pPr>
        <w:widowControl w:val="0"/>
        <w:tabs>
          <w:tab w:val="left" w:pos="4320"/>
        </w:tabs>
        <w:autoSpaceDE w:val="0"/>
        <w:autoSpaceDN w:val="0"/>
        <w:adjustRightInd w:val="0"/>
        <w:ind w:firstLine="284"/>
        <w:jc w:val="both"/>
        <w:rPr>
          <w:lang w:val="en-GB"/>
        </w:rPr>
      </w:pPr>
      <w:r w:rsidRPr="00361E6E">
        <w:rPr>
          <w:lang w:val="en-GB"/>
        </w:rPr>
        <w:t xml:space="preserve">The follow-up of the enrichment of the studied phosphate according to the calcination </w:t>
      </w:r>
      <w:r>
        <w:rPr>
          <w:lang w:val="en-GB"/>
        </w:rPr>
        <w:t>temperature and the time’s stay</w:t>
      </w:r>
      <w:r w:rsidRPr="00361E6E">
        <w:rPr>
          <w:lang w:val="en-GB"/>
        </w:rPr>
        <w:t xml:space="preserve"> enabled us to note that:</w:t>
      </w:r>
    </w:p>
    <w:p w:rsidR="00593924" w:rsidRPr="00361E6E" w:rsidRDefault="00593924" w:rsidP="00F807E4">
      <w:pPr>
        <w:widowControl w:val="0"/>
        <w:tabs>
          <w:tab w:val="left" w:pos="4320"/>
        </w:tabs>
        <w:autoSpaceDE w:val="0"/>
        <w:autoSpaceDN w:val="0"/>
        <w:adjustRightInd w:val="0"/>
        <w:ind w:firstLine="284"/>
        <w:jc w:val="both"/>
        <w:rPr>
          <w:lang w:val="en-GB"/>
        </w:rPr>
      </w:pPr>
      <w:r w:rsidRPr="00361E6E">
        <w:rPr>
          <w:lang w:val="en-GB"/>
        </w:rPr>
        <w:t>- Between 600°C-</w:t>
      </w:r>
      <w:smartTag w:uri="urn:schemas-microsoft-com:office:smarttags" w:element="metricconverter">
        <w:smartTagPr>
          <w:attr w:name="ProductID" w:val="700ﾰC"/>
        </w:smartTagPr>
        <w:r w:rsidRPr="00361E6E">
          <w:rPr>
            <w:lang w:val="en-GB"/>
          </w:rPr>
          <w:t>700°C</w:t>
        </w:r>
      </w:smartTag>
      <w:r w:rsidRPr="00361E6E">
        <w:rPr>
          <w:lang w:val="en-GB"/>
        </w:rPr>
        <w:t xml:space="preserve">, there is a weak increase of the speed of enrichment following the release of the two types of chemical reactions as it was observed on </w:t>
      </w:r>
      <w:r w:rsidR="00F807E4">
        <w:rPr>
          <w:lang w:val="en-GB"/>
        </w:rPr>
        <w:t xml:space="preserve">the DTA and TGA curves (fig </w:t>
      </w:r>
      <w:r w:rsidR="00547EF9">
        <w:rPr>
          <w:lang w:val="en-GB"/>
        </w:rPr>
        <w:t>5</w:t>
      </w:r>
      <w:r w:rsidRPr="00361E6E">
        <w:rPr>
          <w:lang w:val="en-GB"/>
        </w:rPr>
        <w:t xml:space="preserve">); the endothermic reaction of dehydration </w:t>
      </w:r>
      <w:r>
        <w:rPr>
          <w:lang w:val="en-GB"/>
        </w:rPr>
        <w:t xml:space="preserve">is </w:t>
      </w:r>
      <w:r w:rsidRPr="00361E6E">
        <w:rPr>
          <w:lang w:val="en-GB"/>
        </w:rPr>
        <w:t>followed by the exothermic reaction of combustion of the organic matter. The latter is responsible for the reduction in organic carbon (C</w:t>
      </w:r>
      <w:r w:rsidRPr="00361E6E">
        <w:rPr>
          <w:vertAlign w:val="subscript"/>
          <w:lang w:val="en-GB"/>
        </w:rPr>
        <w:t>org</w:t>
      </w:r>
      <w:r w:rsidRPr="00361E6E">
        <w:rPr>
          <w:lang w:val="en-GB"/>
        </w:rPr>
        <w:t xml:space="preserve">). It seems that the phenomenon of dehydration observed between </w:t>
      </w:r>
      <w:smartTag w:uri="urn:schemas-microsoft-com:office:smarttags" w:element="metricconverter">
        <w:smartTagPr>
          <w:attr w:name="ProductID" w:val="80ﾰC"/>
        </w:smartTagPr>
        <w:r w:rsidRPr="00361E6E">
          <w:rPr>
            <w:lang w:val="en-GB"/>
          </w:rPr>
          <w:t>80°C</w:t>
        </w:r>
      </w:smartTag>
      <w:r w:rsidRPr="00361E6E">
        <w:rPr>
          <w:lang w:val="en-GB"/>
        </w:rPr>
        <w:t xml:space="preserve"> and </w:t>
      </w:r>
      <w:smartTag w:uri="urn:schemas-microsoft-com:office:smarttags" w:element="metricconverter">
        <w:smartTagPr>
          <w:attr w:name="ProductID" w:val="120ﾰC"/>
        </w:smartTagPr>
        <w:r w:rsidRPr="00361E6E">
          <w:rPr>
            <w:lang w:val="en-GB"/>
          </w:rPr>
          <w:t>120°C</w:t>
        </w:r>
      </w:smartTag>
      <w:r w:rsidRPr="00361E6E">
        <w:rPr>
          <w:lang w:val="en-GB"/>
        </w:rPr>
        <w:t xml:space="preserve"> on the DTA and TGA curves (fig</w:t>
      </w:r>
      <w:r w:rsidR="00547EF9">
        <w:rPr>
          <w:lang w:val="en-GB"/>
        </w:rPr>
        <w:t xml:space="preserve"> 5</w:t>
      </w:r>
      <w:r w:rsidRPr="00361E6E">
        <w:rPr>
          <w:lang w:val="en-GB"/>
        </w:rPr>
        <w:t xml:space="preserve">) involves the departure of the water molecule. This phenomenon occurs brutally with </w:t>
      </w:r>
      <w:smartTag w:uri="urn:schemas-microsoft-com:office:smarttags" w:element="metricconverter">
        <w:smartTagPr>
          <w:attr w:name="ProductID" w:val="600ﾰC"/>
        </w:smartTagPr>
        <w:r w:rsidRPr="00361E6E">
          <w:rPr>
            <w:lang w:val="en-GB"/>
          </w:rPr>
          <w:t>600°C</w:t>
        </w:r>
      </w:smartTag>
      <w:r w:rsidRPr="00361E6E">
        <w:rPr>
          <w:lang w:val="en-GB"/>
        </w:rPr>
        <w:t xml:space="preserve"> during the enrichment, leads to the creation of the pores in the grains and contributes to the ventilation of p</w:t>
      </w:r>
      <w:r>
        <w:rPr>
          <w:lang w:val="en-GB"/>
        </w:rPr>
        <w:t>hosphate during the calcination,</w:t>
      </w:r>
      <w:r w:rsidRPr="00361E6E">
        <w:rPr>
          <w:lang w:val="en-GB"/>
        </w:rPr>
        <w:t xml:space="preserve"> </w:t>
      </w:r>
      <w:r>
        <w:rPr>
          <w:lang w:val="en-GB"/>
        </w:rPr>
        <w:t>which</w:t>
      </w:r>
      <w:r w:rsidRPr="00361E6E">
        <w:rPr>
          <w:lang w:val="en-GB"/>
        </w:rPr>
        <w:t xml:space="preserve"> facilitates thereafter the release of the volatile matter.</w:t>
      </w:r>
    </w:p>
    <w:p w:rsidR="00593924" w:rsidRPr="00361E6E" w:rsidRDefault="00593924" w:rsidP="00593924">
      <w:pPr>
        <w:widowControl w:val="0"/>
        <w:tabs>
          <w:tab w:val="left" w:pos="4320"/>
        </w:tabs>
        <w:autoSpaceDE w:val="0"/>
        <w:autoSpaceDN w:val="0"/>
        <w:adjustRightInd w:val="0"/>
        <w:ind w:firstLine="284"/>
        <w:jc w:val="both"/>
        <w:rPr>
          <w:lang w:val="en-GB"/>
        </w:rPr>
      </w:pPr>
      <w:r w:rsidRPr="00361E6E">
        <w:rPr>
          <w:lang w:val="en-GB"/>
        </w:rPr>
        <w:t xml:space="preserve">From </w:t>
      </w:r>
      <w:smartTag w:uri="urn:schemas-microsoft-com:office:smarttags" w:element="metricconverter">
        <w:smartTagPr>
          <w:attr w:name="ProductID" w:val="700ﾰC"/>
        </w:smartTagPr>
        <w:r w:rsidRPr="00361E6E">
          <w:rPr>
            <w:lang w:val="en-GB"/>
          </w:rPr>
          <w:t>700°C</w:t>
        </w:r>
      </w:smartTag>
      <w:r w:rsidRPr="00361E6E">
        <w:rPr>
          <w:lang w:val="en-GB"/>
        </w:rPr>
        <w:t>, the speed of enrichment increases considerably, following the endothermic reaction due to the decomposi</w:t>
      </w:r>
      <w:r w:rsidR="00547EF9">
        <w:rPr>
          <w:lang w:val="en-GB"/>
        </w:rPr>
        <w:t>tion of the carbonates (fig 5</w:t>
      </w:r>
      <w:r w:rsidRPr="00361E6E">
        <w:rPr>
          <w:lang w:val="en-GB"/>
        </w:rPr>
        <w:t>), which comes to be added to the reaction of oxidation of the organic matter. This endothermic phenomenon is responsible for the strong carbon dioxide emission.</w:t>
      </w:r>
    </w:p>
    <w:p w:rsidR="00593924" w:rsidRPr="00361E6E" w:rsidRDefault="00593924" w:rsidP="00593924">
      <w:pPr>
        <w:widowControl w:val="0"/>
        <w:tabs>
          <w:tab w:val="left" w:pos="4320"/>
        </w:tabs>
        <w:autoSpaceDE w:val="0"/>
        <w:autoSpaceDN w:val="0"/>
        <w:adjustRightInd w:val="0"/>
        <w:ind w:firstLine="284"/>
        <w:jc w:val="both"/>
        <w:rPr>
          <w:lang w:val="en-GB"/>
        </w:rPr>
      </w:pPr>
      <w:r w:rsidRPr="00361E6E">
        <w:rPr>
          <w:lang w:val="en-GB"/>
        </w:rPr>
        <w:t xml:space="preserve">Between </w:t>
      </w:r>
      <w:smartTag w:uri="urn:schemas-microsoft-com:office:smarttags" w:element="metricconverter">
        <w:smartTagPr>
          <w:attr w:name="ProductID" w:val="800ﾰC"/>
        </w:smartTagPr>
        <w:r w:rsidRPr="00361E6E">
          <w:rPr>
            <w:lang w:val="en-GB"/>
          </w:rPr>
          <w:t>800°C</w:t>
        </w:r>
      </w:smartTag>
      <w:r w:rsidRPr="00361E6E">
        <w:rPr>
          <w:lang w:val="en-GB"/>
        </w:rPr>
        <w:t xml:space="preserve"> and </w:t>
      </w:r>
      <w:smartTag w:uri="urn:schemas-microsoft-com:office:smarttags" w:element="metricconverter">
        <w:smartTagPr>
          <w:attr w:name="ProductID" w:val="900ﾰC"/>
        </w:smartTagPr>
        <w:r w:rsidRPr="00361E6E">
          <w:rPr>
            <w:lang w:val="en-GB"/>
          </w:rPr>
          <w:t>900°C</w:t>
        </w:r>
      </w:smartTag>
      <w:r w:rsidRPr="00361E6E">
        <w:rPr>
          <w:lang w:val="en-GB"/>
        </w:rPr>
        <w:t>, the speed of enrichment remains almost constant</w:t>
      </w:r>
      <w:r>
        <w:rPr>
          <w:lang w:val="en-GB"/>
        </w:rPr>
        <w:t>;</w:t>
      </w:r>
      <w:r w:rsidRPr="00361E6E">
        <w:rPr>
          <w:lang w:val="en-GB"/>
        </w:rPr>
        <w:t xml:space="preserve"> this is justified by contents of P</w:t>
      </w:r>
      <w:r w:rsidRPr="00361E6E">
        <w:rPr>
          <w:vertAlign w:val="subscript"/>
          <w:lang w:val="en-GB"/>
        </w:rPr>
        <w:t>2</w:t>
      </w:r>
      <w:r w:rsidRPr="00361E6E">
        <w:rPr>
          <w:lang w:val="en-GB"/>
        </w:rPr>
        <w:t>O</w:t>
      </w:r>
      <w:r w:rsidRPr="00361E6E">
        <w:rPr>
          <w:vertAlign w:val="subscript"/>
          <w:lang w:val="en-GB"/>
        </w:rPr>
        <w:t>5</w:t>
      </w:r>
      <w:r w:rsidRPr="00361E6E">
        <w:rPr>
          <w:lang w:val="en-GB"/>
        </w:rPr>
        <w:t>, C</w:t>
      </w:r>
      <w:r w:rsidRPr="00361E6E">
        <w:rPr>
          <w:vertAlign w:val="subscript"/>
          <w:lang w:val="en-GB"/>
        </w:rPr>
        <w:t>org</w:t>
      </w:r>
      <w:r w:rsidRPr="00361E6E">
        <w:rPr>
          <w:lang w:val="en-GB"/>
        </w:rPr>
        <w:t>, CO</w:t>
      </w:r>
      <w:r w:rsidRPr="00361E6E">
        <w:rPr>
          <w:vertAlign w:val="subscript"/>
          <w:lang w:val="en-GB"/>
        </w:rPr>
        <w:t>2</w:t>
      </w:r>
      <w:r w:rsidRPr="00361E6E">
        <w:rPr>
          <w:lang w:val="en-GB"/>
        </w:rPr>
        <w:t xml:space="preserve"> and CaO which they have not underwent any variation. This appears obvious since</w:t>
      </w:r>
      <w:r>
        <w:rPr>
          <w:lang w:val="en-GB"/>
        </w:rPr>
        <w:t>,</w:t>
      </w:r>
      <w:r w:rsidRPr="00361E6E">
        <w:rPr>
          <w:lang w:val="en-GB"/>
        </w:rPr>
        <w:t xml:space="preserve"> in this temperature interval, the loss of mass is very weak and the phenomenon of decarbonation is almost completed at </w:t>
      </w:r>
      <w:smartTag w:uri="urn:schemas-microsoft-com:office:smarttags" w:element="metricconverter">
        <w:smartTagPr>
          <w:attr w:name="ProductID" w:val="800ﾰC"/>
        </w:smartTagPr>
        <w:r w:rsidRPr="00361E6E">
          <w:rPr>
            <w:lang w:val="en-GB"/>
          </w:rPr>
          <w:t>800°C</w:t>
        </w:r>
      </w:smartTag>
      <w:r w:rsidRPr="00361E6E">
        <w:rPr>
          <w:lang w:val="en-GB"/>
        </w:rPr>
        <w:t xml:space="preserve"> with a stage of 30</w:t>
      </w:r>
      <w:r w:rsidR="00E75890">
        <w:rPr>
          <w:lang w:val="en-GB"/>
        </w:rPr>
        <w:t xml:space="preserve"> </w:t>
      </w:r>
      <w:r w:rsidRPr="00361E6E">
        <w:rPr>
          <w:lang w:val="en-GB"/>
        </w:rPr>
        <w:t>min. The CO</w:t>
      </w:r>
      <w:r w:rsidRPr="00361E6E">
        <w:rPr>
          <w:vertAlign w:val="subscript"/>
          <w:lang w:val="en-GB"/>
        </w:rPr>
        <w:t>2</w:t>
      </w:r>
      <w:r w:rsidRPr="00361E6E">
        <w:rPr>
          <w:lang w:val="en-GB"/>
        </w:rPr>
        <w:t xml:space="preserve"> content measured in the calcined phosphate at </w:t>
      </w:r>
      <w:smartTag w:uri="urn:schemas-microsoft-com:office:smarttags" w:element="metricconverter">
        <w:smartTagPr>
          <w:attr w:name="ProductID" w:val="800ﾰC"/>
        </w:smartTagPr>
        <w:r w:rsidRPr="00361E6E">
          <w:rPr>
            <w:lang w:val="en-GB"/>
          </w:rPr>
          <w:t>800°C</w:t>
        </w:r>
      </w:smartTag>
      <w:r w:rsidRPr="00361E6E">
        <w:rPr>
          <w:lang w:val="en-GB"/>
        </w:rPr>
        <w:t xml:space="preserve"> with a stage of 30min can be explained only by the phenomenon of recarbonatation of the fluor</w:t>
      </w:r>
      <w:r>
        <w:rPr>
          <w:lang w:val="en-GB"/>
        </w:rPr>
        <w:t xml:space="preserve">oapatite already observed by </w:t>
      </w:r>
      <w:r w:rsidRPr="00361E6E">
        <w:rPr>
          <w:lang w:val="en-GB"/>
        </w:rPr>
        <w:t>Blazy and</w:t>
      </w:r>
      <w:r>
        <w:rPr>
          <w:lang w:val="en-GB"/>
        </w:rPr>
        <w:t xml:space="preserve"> and Jdid [22]</w:t>
      </w:r>
      <w:r w:rsidRPr="00361E6E">
        <w:rPr>
          <w:lang w:val="en-GB"/>
        </w:rPr>
        <w:t>. These authors have explained this result by an increase in cell parameter of the fluoroapatite following the insertion of carbon in its crystal lattice.</w:t>
      </w:r>
    </w:p>
    <w:p w:rsidR="0056196C" w:rsidRPr="00031F72" w:rsidRDefault="007F138A" w:rsidP="0056196C">
      <w:pPr>
        <w:widowControl w:val="0"/>
        <w:tabs>
          <w:tab w:val="left" w:pos="4320"/>
        </w:tabs>
        <w:autoSpaceDE w:val="0"/>
        <w:autoSpaceDN w:val="0"/>
        <w:adjustRightInd w:val="0"/>
        <w:spacing w:before="240" w:after="240"/>
        <w:jc w:val="both"/>
        <w:rPr>
          <w:b/>
          <w:bCs/>
          <w:color w:val="800000"/>
          <w:lang w:val="en-GB"/>
        </w:rPr>
      </w:pPr>
      <w:r>
        <w:rPr>
          <w:b/>
          <w:bCs/>
          <w:color w:val="800000"/>
          <w:lang w:val="en-US"/>
        </w:rPr>
        <w:t>4</w:t>
      </w:r>
      <w:r w:rsidR="0056196C" w:rsidRPr="00031F72">
        <w:rPr>
          <w:b/>
          <w:bCs/>
          <w:color w:val="800000"/>
          <w:lang w:val="en-US"/>
        </w:rPr>
        <w:t>. Behavior of the principal constituents (</w:t>
      </w:r>
      <w:r w:rsidR="0056196C" w:rsidRPr="00031F72">
        <w:rPr>
          <w:b/>
          <w:bCs/>
          <w:color w:val="800000"/>
          <w:lang w:val="en-GB"/>
        </w:rPr>
        <w:t>C</w:t>
      </w:r>
      <w:r w:rsidR="0056196C" w:rsidRPr="00031F72">
        <w:rPr>
          <w:b/>
          <w:bCs/>
          <w:color w:val="800000"/>
          <w:vertAlign w:val="subscript"/>
          <w:lang w:val="en-GB"/>
        </w:rPr>
        <w:t>org</w:t>
      </w:r>
      <w:r w:rsidR="0056196C" w:rsidRPr="00031F72">
        <w:rPr>
          <w:b/>
          <w:bCs/>
          <w:color w:val="800000"/>
          <w:lang w:val="en-GB"/>
        </w:rPr>
        <w:t>, CO</w:t>
      </w:r>
      <w:r w:rsidR="0056196C" w:rsidRPr="00031F72">
        <w:rPr>
          <w:b/>
          <w:bCs/>
          <w:color w:val="800000"/>
          <w:vertAlign w:val="subscript"/>
          <w:lang w:val="en-GB"/>
        </w:rPr>
        <w:t>2</w:t>
      </w:r>
      <w:r w:rsidR="0056196C" w:rsidRPr="00031F72">
        <w:rPr>
          <w:b/>
          <w:bCs/>
          <w:color w:val="800000"/>
          <w:lang w:val="en-GB"/>
        </w:rPr>
        <w:t>, P</w:t>
      </w:r>
      <w:r w:rsidR="0056196C" w:rsidRPr="00031F72">
        <w:rPr>
          <w:b/>
          <w:bCs/>
          <w:color w:val="800000"/>
          <w:vertAlign w:val="subscript"/>
          <w:lang w:val="en-GB"/>
        </w:rPr>
        <w:t>2</w:t>
      </w:r>
      <w:r w:rsidR="0056196C" w:rsidRPr="00031F72">
        <w:rPr>
          <w:b/>
          <w:bCs/>
          <w:color w:val="800000"/>
          <w:lang w:val="en-GB"/>
        </w:rPr>
        <w:t>O</w:t>
      </w:r>
      <w:r w:rsidR="0056196C" w:rsidRPr="00031F72">
        <w:rPr>
          <w:b/>
          <w:bCs/>
          <w:color w:val="800000"/>
          <w:vertAlign w:val="subscript"/>
          <w:lang w:val="en-GB"/>
        </w:rPr>
        <w:t>5</w:t>
      </w:r>
      <w:r w:rsidR="0056196C" w:rsidRPr="00031F72">
        <w:rPr>
          <w:b/>
          <w:bCs/>
          <w:color w:val="800000"/>
          <w:lang w:val="en-GB"/>
        </w:rPr>
        <w:t xml:space="preserve"> CaO) </w:t>
      </w:r>
      <w:r w:rsidR="0056196C">
        <w:rPr>
          <w:b/>
          <w:bCs/>
          <w:color w:val="800000"/>
          <w:lang w:val="en-GB"/>
        </w:rPr>
        <w:t>during the treatment the phosphates by mixture</w:t>
      </w:r>
    </w:p>
    <w:p w:rsidR="007F138A" w:rsidRPr="00361E6E" w:rsidRDefault="007F138A" w:rsidP="007F138A">
      <w:pPr>
        <w:widowControl w:val="0"/>
        <w:tabs>
          <w:tab w:val="left" w:pos="4320"/>
        </w:tabs>
        <w:autoSpaceDE w:val="0"/>
        <w:autoSpaceDN w:val="0"/>
        <w:adjustRightInd w:val="0"/>
        <w:spacing w:before="240" w:after="240"/>
        <w:jc w:val="both"/>
        <w:rPr>
          <w:b/>
          <w:bCs/>
          <w:lang w:val="en-GB"/>
        </w:rPr>
      </w:pPr>
      <w:r>
        <w:rPr>
          <w:b/>
          <w:bCs/>
          <w:lang w:val="en-GB"/>
        </w:rPr>
        <w:t>4. 1. Experimental procedure</w:t>
      </w:r>
    </w:p>
    <w:p w:rsidR="007F138A" w:rsidRPr="00361E6E" w:rsidRDefault="007F138A" w:rsidP="007F138A">
      <w:pPr>
        <w:widowControl w:val="0"/>
        <w:tabs>
          <w:tab w:val="left" w:pos="4320"/>
        </w:tabs>
        <w:autoSpaceDE w:val="0"/>
        <w:autoSpaceDN w:val="0"/>
        <w:adjustRightInd w:val="0"/>
        <w:ind w:firstLine="284"/>
        <w:jc w:val="both"/>
        <w:rPr>
          <w:lang w:val="en-GB"/>
        </w:rPr>
      </w:pPr>
      <w:r w:rsidRPr="00361E6E">
        <w:rPr>
          <w:lang w:val="en-GB"/>
        </w:rPr>
        <w:t>In this experimental study, we studied the mixture of cold and hot phosphate in order to optimize energy intended to the calcination without acting on the phosphate enrichment.</w:t>
      </w:r>
    </w:p>
    <w:p w:rsidR="007F138A" w:rsidRPr="0001489D" w:rsidRDefault="007F138A" w:rsidP="007F138A">
      <w:pPr>
        <w:jc w:val="both"/>
        <w:rPr>
          <w:lang w:val="en-US"/>
        </w:rPr>
      </w:pPr>
      <w:r>
        <w:rPr>
          <w:b/>
          <w:bCs/>
          <w:lang w:val="en-GB"/>
        </w:rPr>
        <w:t>Protocol “2</w:t>
      </w:r>
      <w:r w:rsidRPr="00361E6E">
        <w:rPr>
          <w:b/>
          <w:bCs/>
          <w:lang w:val="en-GB"/>
        </w:rPr>
        <w:t xml:space="preserve">”: </w:t>
      </w:r>
      <w:r w:rsidRPr="00361E6E">
        <w:rPr>
          <w:lang w:val="en-US"/>
        </w:rPr>
        <w:t xml:space="preserve">To study the cooling of phosphate by itself, a sample of </w:t>
      </w:r>
      <w:smartTag w:uri="urn:schemas-microsoft-com:office:smarttags" w:element="metricconverter">
        <w:smartTagPr>
          <w:attr w:name="ProductID" w:val="200 grams"/>
        </w:smartTagPr>
        <w:r w:rsidRPr="00361E6E">
          <w:rPr>
            <w:lang w:val="en-US"/>
          </w:rPr>
          <w:t>200 grams</w:t>
        </w:r>
      </w:smartTag>
      <w:r w:rsidRPr="00361E6E">
        <w:rPr>
          <w:lang w:val="en-US"/>
        </w:rPr>
        <w:t xml:space="preserve"> of phosphate is calcined under a temperature of </w:t>
      </w:r>
      <w:smartTag w:uri="urn:schemas-microsoft-com:office:smarttags" w:element="metricconverter">
        <w:smartTagPr>
          <w:attr w:name="ProductID" w:val="㿸Bǯ彥慮BƭMicrosoft Unified Security Protocol Providero42䵌䵅`濘&quot;帘!ƾC:\Documents and Settings\Onda\Mes documents\Mes imagesƏ耄\lHȁԀ ȠāԀāԀȁԀ ȠȁԀ Ƞƞ2C:\PROGRA~1\FICHIE~1\MICROS~1\SMARTT~1\METCONV.DLLƐ슸㿨&quot;ƈ ū㺬ヸ佈ミ㹼ヸ႐ꗜヘ澘מ  Ţ㺬ヸ佈ミ㹼ヸ႐ꗜヘ흘מ  Ź㺬ヸ佈ミ㹼ヸ႐ꗜヘ蜠ר Űnoticedŋ佴ミ႐*죔׫졠׫ ņ㺬ヸ佈ミ㹼ヸ႐ꗜヘ膰ˑ ŝ좄׫쟰׫רŘ佴ミ႐, 젔׫줐׫ œ㺬ヸ佈ミ㹼ヸ႐ꗜヘר Ī䱠栈&quot;Ĩ(Âൡ݄ဈ଀؝ЉḠםB⻣⻢针ˌЉC⻱⻣룐ײЉפČ셨睊센睊ڈ睌њ0짐秪뫹ᇎ芌ꨀ䬀னỈץᾈץ䝨&quot;⃸ץCLSID\{79EAC9D0-BAF9-11CE-8C82-00AA004BA90B}ץ莰! ĐOLEBC8B5337BC8346399BD0093F8603B ǧ爠獥BBƥ瑦⠠BBţ倣䑃BBġ敬潟Bǿ환㜿搨㝁h䕴㜿ǎ&#10;借俠⃐㫪ၩ〫鴰䌯尺㰀㄀欀琼ၧ圀义佄南☀̀Ѐ邾霺歚‼ᒳ圀䤀一䐀伀圀匀ᘀ᠀ǟឨ俸 ǝ儤凈&quot;杨&quot;NDOWǘ兔蒰!冠&quot;\DRIǓ猛知얈̜c5Ʈ谜 剨&quot;銠˒Ʃ佴ミ႐퍔宀Ƥᧄ醠ˑ刘&quot;醜ˑᦠƿ忨!͐BƽĀЀ䀀က敬簠ȁBŻBȁź6\Bĸ倴曰&quot;琸 :\WIĳ偤朘&quot;曈&quot;poolĎ傔杀&quot;曰&quot;3\UNĉ僄杨&quot;朘&quot; NT Ą僴冠&quot;杀&quot;4200ğ氠 瑘 ĝsĖǯ쌼睊䘨kǭ&#10;楦敬⼺䌯尺䥗䑎坏屓祓瑳浥㈳獜潰汯䑜䥒䕖卒坜㈳㡘尶尳灨獺㕣畭搮摴kƂS-1-5-21-725345543-162531612-682003330-1003ƖNe01:sƓh杧闼 썄魤뻯Ť800ﾰCBŠ&#10;Ā䀀ကĀ@@@ЀЀBľ骠睜骠睜&quot;咇혖徨⥲滐&quot;es\Fichiers 滰&quot;uns\Microsof漐&quot;ared\Smart TSTAG.TLBĉS-1-5-21-725345543-162531612-682003330-1003ĝ؈˙⼰膘!all Ę￘&quot; 蒘师!&#10;䈘&quot;帰!幐!䵌䵅0踈睜巰!ԅ ǯ㩘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瀈&quot;㕼ԅԅǪ㩘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頰&quot;瀈&quot;㔠ԅǥὔ㜲#Ǣ頔㜳삠&quot;廐#ǽ馰㜳#쁸&quot;Ǹ샀&quot;샀&quot; ۤŊ씰&quot;씰&quot;〈ۤǚ8匨૿੠଀ꮀૹเ଀팠૸Ͱ଀ꍀૹꗘૹ૸ৰ଀ꑨૹ೐଀ݘ଀횘૸א଀а଀Ը଀ۀ଀ৈ଀ଠ଀௠଀ඐ଀ྠ଀ꆀૹꉀૹꌀૹꔀૹꘀૹ꜠ૹꟐૹꢀૹꤰૹꨠૹ꫐ૹꮨૹ갠ૹ거ૹᱸ଀ᴐ଀᷐଀Ṩ଀ἀ଀῀଀⁘଀⃰଀ↈ଀∠଀⋐଀⎀଀␰଀ⓠ଀■଀♠଀✠଀⟐଀⢐଀Bƻ㬘tp//www.cheric.orgresearchtechperiodicalsresult.phpjourid=&amp;item1=authors&amp;key1=Coronella%20CJ&amp;sortby=pubyearBBŹBķ棰ƾ쿠&quot;#Ĳ thermoconvective11ċࢸबD®ʕԫɹࣴ ĕ؈ч៨!컐&quot;Ιǯ߿ࠈ ＀Љࠈࡗ X＀Љࡗ࡙XZ＀Љ࡙࣑ZÒ＀Љ࣑࣓ÒÔ＀Љ࣓ऑÔĒ＀ЉऑङĒĚ＀ЉङतĚĥ＀ЉतथĥĦ＀ЉथलĦĳ＀ЉलऺĳĻ＀ЉऺংĻƃ＀Љং৞ƃǟ＀Љ৞৩ǟǪ＀Љ৩৪Ǫǫ＀Љ৪ৰǫǱ＀Љৰ৲Ǳǳ＀Љ৲৳＀Љ৳਒ ＀Љ਒ੂ P＀Љੂ੟Pm＀Љ੟੠mn＀Љ੠੡no＀Љ੡੢op＀Љ੢ગp¥＀Љગૣ¥ñ＀Љૣ૦ñô＀Љ૦ଉôė＀ЉଉଊėĘ＀ЉଊଋĘę＀Љଋ଎ęĜ＀Љ଎଑Ĝğ＀Љ଑୷ğƅ＀Љ୷୸ƅƆ＀Љ୸୹ƆƇ＀Љ୹୽ƇƋ＀Љ୽஀ƋƎ＀Љ஀சƎƨ＀Љச௘ƨǦ＀Љ௘௠ǦǮ＀Љ௠௡Ǯǯ＀Љ௡௢ǯǰ＀Љ௢௧ǰǵ＀Љ௳௴ǲǳ＀Љ௴௵ǳǴ＀Љ௵௶Ǵǵ＀Љ⃿℀mn＀耐Ќ℀℄nr＀耀Ќ℄℅rs＀耐Ќ℅℉sw＀耀Ќ℉ℊwx＀耐Ќℊℍx{＀耀Ќℍℎ{|＀耐Ќℎℒ|＀耀Ќℒℓ＀耐Ќℓ℔＀耐Ќ℔ℕ＀耀Ќℕ№＀耐Ќ№℘＀耀Ќ℘ℙ＀耐Ќℙ℞＀耀Ќ℞℟＀耐Ќ℟™＀耀Ќ™℣＀耐Ќ℣℧＀耀Ќ℧ℨ＀耐Ќℨℬ＀耀Ќℬℭ＀耐Ќℭℱ＀耀ЌℱℲ ＀耐ЌℲℳ ¡＀耐Ќℳℴ¡¢＀耀Ќℴℵ¢£＀耐Ќℵ℺£¨＀耀Ќ℺℻¨©＀耐Ќ℻⅀©®＀耀Ќ⅀⅁®¯＀耐Ќ⅁ⅅ¯³＀耀Ќⅅⅆ³´＀耐Ќⅆ⅊´¸＀耀Ќ⅊⅋¸¹＀耐Ќ⅋ⅎ¹¼＀耀Ќⅎ⅏¼½＀耐Ќ⅏⅓½Á＀耀Ќ⅓⅔ÁÂ＀耐Ќ⅔⅕ÂÃ＀耐Ќ"/>
        </w:smartTagPr>
        <w:r w:rsidRPr="00361E6E">
          <w:rPr>
            <w:lang w:val="en-US"/>
          </w:rPr>
          <w:t>800°C</w:t>
        </w:r>
      </w:smartTag>
      <w:r w:rsidRPr="00361E6E">
        <w:rPr>
          <w:lang w:val="en-US"/>
        </w:rPr>
        <w:t xml:space="preserve"> and during time of stay of 30 minutes, then cooled in an atmospheric air </w:t>
      </w:r>
      <w:r>
        <w:rPr>
          <w:lang w:val="en-US"/>
        </w:rPr>
        <w:t>[3; 4]</w:t>
      </w:r>
      <w:r w:rsidRPr="00361E6E">
        <w:rPr>
          <w:lang w:val="en-US"/>
        </w:rPr>
        <w:t>.</w:t>
      </w:r>
    </w:p>
    <w:p w:rsidR="007F138A" w:rsidRPr="00361E6E" w:rsidRDefault="007F138A" w:rsidP="007F138A">
      <w:pPr>
        <w:tabs>
          <w:tab w:val="left" w:pos="4320"/>
        </w:tabs>
        <w:spacing w:before="120"/>
        <w:ind w:firstLine="284"/>
        <w:jc w:val="both"/>
        <w:rPr>
          <w:lang w:val="en-US"/>
        </w:rPr>
      </w:pPr>
      <w:r w:rsidRPr="00361E6E">
        <w:rPr>
          <w:lang w:val="en-US"/>
        </w:rPr>
        <w:t>The sample is then mixed by cold (MC) with a quantity of phosphate of the same source and the same size classification.</w:t>
      </w:r>
    </w:p>
    <w:p w:rsidR="007F138A" w:rsidRPr="00361E6E" w:rsidRDefault="007F138A" w:rsidP="007F138A">
      <w:pPr>
        <w:tabs>
          <w:tab w:val="left" w:pos="4320"/>
        </w:tabs>
        <w:ind w:firstLine="284"/>
        <w:jc w:val="both"/>
        <w:rPr>
          <w:lang w:val="en-US"/>
        </w:rPr>
      </w:pPr>
      <w:r w:rsidRPr="00361E6E">
        <w:rPr>
          <w:lang w:val="en-US"/>
        </w:rPr>
        <w:t xml:space="preserve">The cooled mixture by hot (MH) is made by mixing under </w:t>
      </w:r>
      <w:smartTag w:uri="urn:schemas-microsoft-com:office:smarttags" w:element="metricconverter">
        <w:smartTagPr>
          <w:attr w:name="ProductID" w:val="800ﾰC"/>
        </w:smartTagPr>
        <w:r w:rsidRPr="00361E6E">
          <w:rPr>
            <w:lang w:val="en-US"/>
          </w:rPr>
          <w:t>800°C</w:t>
        </w:r>
      </w:smartTag>
      <w:r w:rsidRPr="00361E6E">
        <w:rPr>
          <w:lang w:val="en-US"/>
        </w:rPr>
        <w:t xml:space="preserve"> temperature, the calcined phosphate with a quantity of the same source and the same size classification.</w:t>
      </w:r>
    </w:p>
    <w:p w:rsidR="007F138A" w:rsidRPr="00361E6E" w:rsidRDefault="007F138A" w:rsidP="007F138A">
      <w:pPr>
        <w:tabs>
          <w:tab w:val="left" w:pos="4320"/>
        </w:tabs>
        <w:ind w:firstLine="284"/>
        <w:jc w:val="both"/>
        <w:rPr>
          <w:lang w:val="en-US"/>
        </w:rPr>
      </w:pPr>
      <w:r w:rsidRPr="00361E6E">
        <w:rPr>
          <w:lang w:val="en-US"/>
        </w:rPr>
        <w:t>The procedure is performed by adding different mass m</w:t>
      </w:r>
      <w:r w:rsidRPr="00361E6E">
        <w:rPr>
          <w:vertAlign w:val="subscript"/>
          <w:lang w:val="en-US"/>
        </w:rPr>
        <w:t>a</w:t>
      </w:r>
      <w:r w:rsidRPr="00361E6E">
        <w:rPr>
          <w:lang w:val="en-US"/>
        </w:rPr>
        <w:t xml:space="preserve"> (m</w:t>
      </w:r>
      <w:r w:rsidRPr="00361E6E">
        <w:rPr>
          <w:vertAlign w:val="subscript"/>
          <w:lang w:val="en-US"/>
        </w:rPr>
        <w:t>a</w:t>
      </w:r>
      <w:r w:rsidRPr="00361E6E">
        <w:rPr>
          <w:lang w:val="en-US"/>
        </w:rPr>
        <w:t xml:space="preserve"> = m×10%, m×20%, m×30%,…., m×100%).</w:t>
      </w:r>
    </w:p>
    <w:p w:rsidR="007F138A" w:rsidRPr="00361E6E" w:rsidRDefault="007F138A" w:rsidP="007F138A">
      <w:pPr>
        <w:tabs>
          <w:tab w:val="left" w:pos="4320"/>
        </w:tabs>
        <w:ind w:firstLine="284"/>
        <w:jc w:val="both"/>
        <w:rPr>
          <w:lang w:val="en-US"/>
        </w:rPr>
      </w:pPr>
      <w:r w:rsidRPr="00361E6E">
        <w:rPr>
          <w:lang w:val="en-US"/>
        </w:rPr>
        <w:t>Before the chemical analysis compositions C</w:t>
      </w:r>
      <w:r w:rsidRPr="00361E6E">
        <w:rPr>
          <w:vertAlign w:val="subscript"/>
          <w:lang w:val="en-US"/>
        </w:rPr>
        <w:t>org</w:t>
      </w:r>
      <w:r w:rsidRPr="00361E6E">
        <w:rPr>
          <w:lang w:val="en-US"/>
        </w:rPr>
        <w:t>, CO</w:t>
      </w:r>
      <w:r w:rsidRPr="00361E6E">
        <w:rPr>
          <w:vertAlign w:val="subscript"/>
          <w:lang w:val="en-US"/>
        </w:rPr>
        <w:t>2</w:t>
      </w:r>
      <w:r w:rsidRPr="00361E6E">
        <w:rPr>
          <w:lang w:val="en-US"/>
        </w:rPr>
        <w:t>, P</w:t>
      </w:r>
      <w:r w:rsidRPr="00361E6E">
        <w:rPr>
          <w:vertAlign w:val="subscript"/>
          <w:lang w:val="en-US"/>
        </w:rPr>
        <w:t>2</w:t>
      </w:r>
      <w:r w:rsidRPr="00361E6E">
        <w:rPr>
          <w:lang w:val="en-US"/>
        </w:rPr>
        <w:t>O</w:t>
      </w:r>
      <w:r w:rsidRPr="00361E6E">
        <w:rPr>
          <w:vertAlign w:val="subscript"/>
          <w:lang w:val="en-US"/>
        </w:rPr>
        <w:t>5</w:t>
      </w:r>
      <w:r w:rsidRPr="00361E6E">
        <w:rPr>
          <w:lang w:val="en-US"/>
        </w:rPr>
        <w:t xml:space="preserve"> and Ca</w:t>
      </w:r>
      <w:r>
        <w:rPr>
          <w:lang w:val="en-US"/>
        </w:rPr>
        <w:t>O, we proceed to the extinction,</w:t>
      </w:r>
      <w:r w:rsidRPr="00361E6E">
        <w:rPr>
          <w:lang w:val="en-US"/>
        </w:rPr>
        <w:t xml:space="preserve"> by injection of the air and by closing the bed by a sieve of 40 </w:t>
      </w:r>
      <w:r w:rsidRPr="00361E6E">
        <w:sym w:font="Symbol" w:char="F06D"/>
      </w:r>
      <w:r w:rsidRPr="00361E6E">
        <w:rPr>
          <w:lang w:val="en-US"/>
        </w:rPr>
        <w:t>m diameter to remove the volatile matter adsorbed and the size fraction less than 40</w:t>
      </w:r>
      <w:r w:rsidRPr="00361E6E">
        <w:sym w:font="Symbol" w:char="F06D"/>
      </w:r>
      <w:r w:rsidRPr="00361E6E">
        <w:rPr>
          <w:lang w:val="en-US"/>
        </w:rPr>
        <w:t>m of which the phosphorus wh</w:t>
      </w:r>
      <w:r>
        <w:rPr>
          <w:lang w:val="en-US"/>
        </w:rPr>
        <w:t>ose</w:t>
      </w:r>
      <w:r w:rsidRPr="00361E6E">
        <w:rPr>
          <w:lang w:val="en-US"/>
        </w:rPr>
        <w:t xml:space="preserve"> concentration is low.</w:t>
      </w:r>
    </w:p>
    <w:p w:rsidR="00206466" w:rsidRPr="00361E6E" w:rsidRDefault="00206466" w:rsidP="00206466">
      <w:pPr>
        <w:widowControl w:val="0"/>
        <w:tabs>
          <w:tab w:val="left" w:pos="4320"/>
        </w:tabs>
        <w:autoSpaceDE w:val="0"/>
        <w:autoSpaceDN w:val="0"/>
        <w:adjustRightInd w:val="0"/>
        <w:spacing w:before="120" w:after="120"/>
        <w:jc w:val="both"/>
        <w:rPr>
          <w:b/>
          <w:bCs/>
          <w:lang w:val="en-GB"/>
        </w:rPr>
      </w:pPr>
      <w:r>
        <w:rPr>
          <w:b/>
          <w:bCs/>
          <w:lang w:val="en-GB"/>
        </w:rPr>
        <w:t xml:space="preserve">4. 2. </w:t>
      </w:r>
      <w:r w:rsidRPr="00361E6E">
        <w:rPr>
          <w:b/>
          <w:bCs/>
          <w:lang w:val="en-GB"/>
        </w:rPr>
        <w:t>Cooling of phosphate by itself under the standard conditions.</w:t>
      </w:r>
    </w:p>
    <w:p w:rsidR="00206466" w:rsidRPr="00361E6E" w:rsidRDefault="00206466" w:rsidP="00206466">
      <w:pPr>
        <w:widowControl w:val="0"/>
        <w:tabs>
          <w:tab w:val="left" w:pos="4320"/>
        </w:tabs>
        <w:autoSpaceDE w:val="0"/>
        <w:autoSpaceDN w:val="0"/>
        <w:adjustRightInd w:val="0"/>
        <w:ind w:firstLine="284"/>
        <w:jc w:val="both"/>
        <w:rPr>
          <w:lang w:val="en-GB"/>
        </w:rPr>
      </w:pPr>
      <w:r w:rsidRPr="00361E6E">
        <w:rPr>
          <w:lang w:val="en-GB"/>
        </w:rPr>
        <w:t xml:space="preserve">The study of the effect of the temperature and time’s stay, enabled us to optimize the experimental conditions of the enrichment of these phosphates by calcination, while choosing a calcination temperature of </w:t>
      </w:r>
      <w:smartTag w:uri="urn:schemas-microsoft-com:office:smarttags" w:element="metricconverter">
        <w:smartTagPr>
          <w:attr w:name="ProductID" w:val="800ﾰC"/>
        </w:smartTagPr>
        <w:r w:rsidRPr="00361E6E">
          <w:rPr>
            <w:lang w:val="en-GB"/>
          </w:rPr>
          <w:t>800°C</w:t>
        </w:r>
      </w:smartTag>
      <w:r w:rsidRPr="00361E6E">
        <w:rPr>
          <w:lang w:val="en-GB"/>
        </w:rPr>
        <w:t xml:space="preserve"> and a time’s stay of 30min. Under these conditions, we propose to study certain physico-chemical characteristics of cold and hot phosphate mixtures in order to make a comparison with those of the calcined phosphate.</w:t>
      </w:r>
    </w:p>
    <w:p w:rsidR="00206466" w:rsidRDefault="00206466" w:rsidP="008D2346">
      <w:pPr>
        <w:spacing w:before="120"/>
        <w:ind w:firstLine="284"/>
        <w:jc w:val="both"/>
        <w:rPr>
          <w:lang w:val="en-US"/>
        </w:rPr>
      </w:pPr>
      <w:r w:rsidRPr="00361E6E">
        <w:rPr>
          <w:lang w:val="en-US"/>
        </w:rPr>
        <w:t>The figure 7 gives the evolution of the C</w:t>
      </w:r>
      <w:r w:rsidRPr="00361E6E">
        <w:rPr>
          <w:vertAlign w:val="subscript"/>
          <w:lang w:val="en-US"/>
        </w:rPr>
        <w:t>org</w:t>
      </w:r>
      <w:r w:rsidRPr="00361E6E">
        <w:rPr>
          <w:lang w:val="en-US"/>
        </w:rPr>
        <w:t>, CO</w:t>
      </w:r>
      <w:r w:rsidRPr="00361E6E">
        <w:rPr>
          <w:vertAlign w:val="subscript"/>
          <w:lang w:val="en-US"/>
        </w:rPr>
        <w:t>2</w:t>
      </w:r>
      <w:r w:rsidRPr="00361E6E">
        <w:rPr>
          <w:lang w:val="en-US"/>
        </w:rPr>
        <w:t>, P</w:t>
      </w:r>
      <w:r w:rsidRPr="00361E6E">
        <w:rPr>
          <w:vertAlign w:val="subscript"/>
          <w:lang w:val="en-US"/>
        </w:rPr>
        <w:t>2</w:t>
      </w:r>
      <w:r w:rsidRPr="00361E6E">
        <w:rPr>
          <w:lang w:val="en-US"/>
        </w:rPr>
        <w:t>O</w:t>
      </w:r>
      <w:r w:rsidRPr="00361E6E">
        <w:rPr>
          <w:vertAlign w:val="subscript"/>
          <w:lang w:val="en-US"/>
        </w:rPr>
        <w:t>5</w:t>
      </w:r>
      <w:r w:rsidRPr="00361E6E">
        <w:rPr>
          <w:lang w:val="en-US"/>
        </w:rPr>
        <w:t xml:space="preserve"> and CaO content according to the added phosphate calcined both on the cold and hot. The contents variation of these two mixtures increases and reaches a maximum which remains invariant until to the addition of a quantity of 33% while keeping an acceptable content. For additions higher than 33%, this variation decreases in a remarkable way; the C</w:t>
      </w:r>
      <w:r w:rsidRPr="00361E6E">
        <w:rPr>
          <w:vertAlign w:val="subscript"/>
          <w:lang w:val="en-US"/>
        </w:rPr>
        <w:t>org</w:t>
      </w:r>
      <w:r w:rsidRPr="00361E6E">
        <w:rPr>
          <w:lang w:val="en-US"/>
        </w:rPr>
        <w:t>, CO</w:t>
      </w:r>
      <w:r w:rsidRPr="00361E6E">
        <w:rPr>
          <w:vertAlign w:val="subscript"/>
          <w:lang w:val="en-US"/>
        </w:rPr>
        <w:t>2</w:t>
      </w:r>
      <w:r w:rsidRPr="00361E6E">
        <w:rPr>
          <w:lang w:val="en-US"/>
        </w:rPr>
        <w:t>, P</w:t>
      </w:r>
      <w:r w:rsidRPr="00361E6E">
        <w:rPr>
          <w:vertAlign w:val="subscript"/>
          <w:lang w:val="en-US"/>
        </w:rPr>
        <w:t>2</w:t>
      </w:r>
      <w:r w:rsidRPr="00361E6E">
        <w:rPr>
          <w:lang w:val="en-US"/>
        </w:rPr>
        <w:t>O</w:t>
      </w:r>
      <w:r w:rsidRPr="00361E6E">
        <w:rPr>
          <w:vertAlign w:val="subscript"/>
          <w:lang w:val="en-US"/>
        </w:rPr>
        <w:t>5</w:t>
      </w:r>
      <w:r w:rsidRPr="00361E6E">
        <w:rPr>
          <w:lang w:val="en-US"/>
        </w:rPr>
        <w:t xml:space="preserve"> and CaO content obtained become</w:t>
      </w:r>
      <w:r>
        <w:rPr>
          <w:lang w:val="en-US"/>
        </w:rPr>
        <w:t>s</w:t>
      </w:r>
      <w:r w:rsidRPr="00361E6E">
        <w:rPr>
          <w:lang w:val="en-US"/>
        </w:rPr>
        <w:t xml:space="preserve"> higher than the useful values </w:t>
      </w:r>
      <w:r>
        <w:rPr>
          <w:lang w:val="en-US"/>
        </w:rPr>
        <w:t>[23]</w:t>
      </w:r>
      <w:r w:rsidRPr="00361E6E">
        <w:rPr>
          <w:lang w:val="en-US"/>
        </w:rPr>
        <w:t>.</w:t>
      </w:r>
    </w:p>
    <w:p w:rsidR="000C55C8" w:rsidRPr="00361E6E" w:rsidRDefault="00A411C5" w:rsidP="000C55C8">
      <w:pPr>
        <w:jc w:val="both"/>
        <w:rPr>
          <w:sz w:val="20"/>
          <w:szCs w:val="20"/>
          <w:lang w:val="en-GB"/>
        </w:rPr>
      </w:pPr>
      <w:r w:rsidRPr="00361E6E">
        <w:object w:dxaOrig="6551" w:dyaOrig="4760">
          <v:shape id="_x0000_i1032" type="#_x0000_t75" style="width:230.4pt;height:194.1pt" o:ole="" o:preferrelative="f">
            <v:imagedata r:id="rId27" o:title=""/>
            <o:lock v:ext="edit" aspectratio="f"/>
          </v:shape>
          <o:OLEObject Type="Embed" ProgID="Origin50.Graph" ShapeID="_x0000_i1032" DrawAspect="Content" ObjectID="_1622669537" r:id="rId28"/>
        </w:object>
      </w:r>
      <w:r w:rsidRPr="00361E6E">
        <w:object w:dxaOrig="6513" w:dyaOrig="5132">
          <v:shape id="_x0000_i1033" type="#_x0000_t75" style="width:226.35pt;height:197pt" o:ole="" o:preferrelative="f">
            <v:imagedata r:id="rId29" o:title=""/>
            <o:lock v:ext="edit" aspectratio="f"/>
          </v:shape>
          <o:OLEObject Type="Embed" ProgID="Origin50.Graph" ShapeID="_x0000_i1033" DrawAspect="Content" ObjectID="_1622669538" r:id="rId30"/>
        </w:object>
      </w:r>
      <w:r w:rsidR="00F1798D" w:rsidRPr="00361E6E">
        <w:object w:dxaOrig="6631" w:dyaOrig="4669">
          <v:shape id="_x0000_i1034" type="#_x0000_t75" style="width:226.95pt;height:198.15pt" o:ole="" o:preferrelative="f">
            <v:imagedata r:id="rId31" o:title=""/>
            <o:lock v:ext="edit" aspectratio="f"/>
          </v:shape>
          <o:OLEObject Type="Embed" ProgID="Origin50.Graph" ShapeID="_x0000_i1034" DrawAspect="Content" ObjectID="_1622669539" r:id="rId32"/>
        </w:object>
      </w:r>
      <w:r w:rsidRPr="00361E6E">
        <w:object w:dxaOrig="6381" w:dyaOrig="4488">
          <v:shape id="_x0000_i1035" type="#_x0000_t75" style="width:226.95pt;height:198.7pt" o:ole="" o:preferrelative="f">
            <v:imagedata r:id="rId33" o:title=""/>
            <o:lock v:ext="edit" aspectratio="f"/>
          </v:shape>
          <o:OLEObject Type="Embed" ProgID="Origin50.Graph" ShapeID="_x0000_i1035" DrawAspect="Content" ObjectID="_1622669540" r:id="rId34"/>
        </w:object>
      </w:r>
      <w:r w:rsidR="000C55C8" w:rsidRPr="00361E6E">
        <w:rPr>
          <w:b/>
          <w:bCs/>
          <w:sz w:val="20"/>
          <w:szCs w:val="20"/>
          <w:lang w:val="en-GB"/>
        </w:rPr>
        <w:t>Figure. 7</w:t>
      </w:r>
      <w:r w:rsidR="000C55C8" w:rsidRPr="00361E6E">
        <w:rPr>
          <w:sz w:val="20"/>
          <w:szCs w:val="20"/>
          <w:lang w:val="en-GB"/>
        </w:rPr>
        <w:t>. Variation of the C</w:t>
      </w:r>
      <w:r w:rsidR="000C55C8" w:rsidRPr="00361E6E">
        <w:rPr>
          <w:sz w:val="20"/>
          <w:szCs w:val="20"/>
          <w:vertAlign w:val="subscript"/>
          <w:lang w:val="en-GB"/>
        </w:rPr>
        <w:t>org</w:t>
      </w:r>
      <w:r w:rsidR="000C55C8" w:rsidRPr="00361E6E">
        <w:rPr>
          <w:sz w:val="20"/>
          <w:szCs w:val="20"/>
          <w:lang w:val="en-GB"/>
        </w:rPr>
        <w:t>, CO</w:t>
      </w:r>
      <w:r w:rsidR="000C55C8" w:rsidRPr="00361E6E">
        <w:rPr>
          <w:sz w:val="20"/>
          <w:szCs w:val="20"/>
          <w:vertAlign w:val="subscript"/>
          <w:lang w:val="en-GB"/>
        </w:rPr>
        <w:t>2</w:t>
      </w:r>
      <w:r w:rsidR="000C55C8" w:rsidRPr="00361E6E">
        <w:rPr>
          <w:sz w:val="20"/>
          <w:szCs w:val="20"/>
          <w:lang w:val="en-GB"/>
        </w:rPr>
        <w:t>, P</w:t>
      </w:r>
      <w:r w:rsidR="000C55C8" w:rsidRPr="00361E6E">
        <w:rPr>
          <w:sz w:val="20"/>
          <w:szCs w:val="20"/>
          <w:vertAlign w:val="subscript"/>
          <w:lang w:val="en-GB"/>
        </w:rPr>
        <w:t>2</w:t>
      </w:r>
      <w:r w:rsidR="000C55C8" w:rsidRPr="00361E6E">
        <w:rPr>
          <w:sz w:val="20"/>
          <w:szCs w:val="20"/>
          <w:lang w:val="en-GB"/>
        </w:rPr>
        <w:t>O</w:t>
      </w:r>
      <w:r w:rsidR="000C55C8" w:rsidRPr="00361E6E">
        <w:rPr>
          <w:sz w:val="20"/>
          <w:szCs w:val="20"/>
          <w:vertAlign w:val="subscript"/>
          <w:lang w:val="en-GB"/>
        </w:rPr>
        <w:t>5</w:t>
      </w:r>
      <w:r w:rsidR="004319F0">
        <w:rPr>
          <w:sz w:val="20"/>
          <w:szCs w:val="20"/>
          <w:lang w:val="en-GB"/>
        </w:rPr>
        <w:t xml:space="preserve"> and CaO</w:t>
      </w:r>
      <w:r w:rsidR="000C55C8" w:rsidRPr="00361E6E">
        <w:rPr>
          <w:sz w:val="20"/>
          <w:szCs w:val="20"/>
          <w:lang w:val="en-GB"/>
        </w:rPr>
        <w:t xml:space="preserve"> according to the mass of the added phosphate</w:t>
      </w:r>
    </w:p>
    <w:p w:rsidR="00B871F5" w:rsidRPr="00361E6E" w:rsidRDefault="00B871F5" w:rsidP="00B871F5">
      <w:pPr>
        <w:tabs>
          <w:tab w:val="left" w:pos="4320"/>
        </w:tabs>
        <w:spacing w:before="240"/>
        <w:ind w:firstLine="284"/>
        <w:jc w:val="both"/>
        <w:rPr>
          <w:lang w:val="en-US"/>
        </w:rPr>
      </w:pPr>
      <w:r w:rsidRPr="00361E6E">
        <w:rPr>
          <w:lang w:val="en-US"/>
        </w:rPr>
        <w:t xml:space="preserve">The results obtained on the phosphate from the Ganntour basin, with properties listed above, which contains organic material and size fraction between 40 and 500 </w:t>
      </w:r>
      <w:r w:rsidRPr="00361E6E">
        <w:sym w:font="Symbol" w:char="F06D"/>
      </w:r>
      <w:r w:rsidRPr="00361E6E">
        <w:rPr>
          <w:lang w:val="en-US"/>
        </w:rPr>
        <w:t>m enriched by thermal and mechanical ways in a discontinuous manner, illustrate well the interest taken into account of the coupling between the process and the physical and chemical properties. We have described in this work an experimental protocol that allowed obtaining the optimum mixtures and their impact on the quality of phosphate.</w:t>
      </w:r>
    </w:p>
    <w:p w:rsidR="00B871F5" w:rsidRPr="00361E6E" w:rsidRDefault="00B871F5" w:rsidP="00CE3FF4">
      <w:pPr>
        <w:tabs>
          <w:tab w:val="left" w:pos="4320"/>
        </w:tabs>
        <w:ind w:firstLine="284"/>
        <w:jc w:val="both"/>
        <w:rPr>
          <w:lang w:val="en-US"/>
        </w:rPr>
      </w:pPr>
      <w:r w:rsidRPr="00361E6E">
        <w:rPr>
          <w:lang w:val="en-US"/>
        </w:rPr>
        <w:t>During the cold mixture, the organic carbon content decreases from 1.4 to 0.15% and increases from 0.15 to 0.4</w:t>
      </w:r>
      <w:r w:rsidR="00E859C1">
        <w:rPr>
          <w:lang w:val="en-US"/>
        </w:rPr>
        <w:t>6</w:t>
      </w:r>
      <w:r w:rsidRPr="00361E6E">
        <w:rPr>
          <w:lang w:val="en-US"/>
        </w:rPr>
        <w:t xml:space="preserve">% while the content of carbon dioxide decreases from 6.6 to 1.8% and increases of 1.8 to </w:t>
      </w:r>
      <w:r w:rsidR="00E859C1">
        <w:rPr>
          <w:lang w:val="en-US"/>
        </w:rPr>
        <w:t>3</w:t>
      </w:r>
      <w:r w:rsidRPr="00361E6E">
        <w:rPr>
          <w:lang w:val="en-US"/>
        </w:rPr>
        <w:t>%. This combines a higher concentration of phosphate containing 30.39% of P</w:t>
      </w:r>
      <w:r w:rsidRPr="00361E6E">
        <w:rPr>
          <w:vertAlign w:val="subscript"/>
          <w:lang w:val="en-US"/>
        </w:rPr>
        <w:t>2</w:t>
      </w:r>
      <w:r w:rsidRPr="00361E6E">
        <w:rPr>
          <w:lang w:val="en-US"/>
        </w:rPr>
        <w:t>O</w:t>
      </w:r>
      <w:r w:rsidRPr="00361E6E">
        <w:rPr>
          <w:vertAlign w:val="subscript"/>
          <w:lang w:val="en-US"/>
        </w:rPr>
        <w:t>5</w:t>
      </w:r>
      <w:r w:rsidRPr="00361E6E">
        <w:rPr>
          <w:lang w:val="en-US"/>
        </w:rPr>
        <w:t xml:space="preserve"> in an amount of about 34.23% and decreases by 34.23% to 33%.</w:t>
      </w:r>
    </w:p>
    <w:p w:rsidR="00B871F5" w:rsidRDefault="00B871F5" w:rsidP="005D7599">
      <w:pPr>
        <w:tabs>
          <w:tab w:val="left" w:pos="4320"/>
        </w:tabs>
        <w:ind w:firstLine="284"/>
        <w:jc w:val="both"/>
        <w:rPr>
          <w:lang w:val="en-US"/>
        </w:rPr>
      </w:pPr>
      <w:r w:rsidRPr="00361E6E">
        <w:rPr>
          <w:lang w:val="en-US"/>
        </w:rPr>
        <w:t>During the hot mixture, the organic carbon decreased from 1.4 to 0.15% and then grows from 0.15 to 0.3%, while the carbon dioxide decreases from 6.6 to 1.8% and then grows from 1.8 to 2.4%. This involves a higher concentration of phosphate containing 30.39% of P</w:t>
      </w:r>
      <w:r w:rsidRPr="00361E6E">
        <w:rPr>
          <w:vertAlign w:val="subscript"/>
          <w:lang w:val="en-US"/>
        </w:rPr>
        <w:t>2</w:t>
      </w:r>
      <w:r w:rsidRPr="00361E6E">
        <w:rPr>
          <w:lang w:val="en-US"/>
        </w:rPr>
        <w:t>O</w:t>
      </w:r>
      <w:r w:rsidRPr="00361E6E">
        <w:rPr>
          <w:vertAlign w:val="subscript"/>
          <w:lang w:val="en-US"/>
        </w:rPr>
        <w:t>5</w:t>
      </w:r>
      <w:r w:rsidRPr="00361E6E">
        <w:rPr>
          <w:lang w:val="en-US"/>
        </w:rPr>
        <w:t xml:space="preserve"> in an amount of about 34.23% and decreases slightly to a value of 33</w:t>
      </w:r>
      <w:r w:rsidR="00CE3FF4">
        <w:rPr>
          <w:lang w:val="en-US"/>
        </w:rPr>
        <w:t>.</w:t>
      </w:r>
      <w:r w:rsidRPr="00361E6E">
        <w:rPr>
          <w:lang w:val="en-US"/>
        </w:rPr>
        <w:t>45%.</w:t>
      </w:r>
    </w:p>
    <w:p w:rsidR="00E423DD" w:rsidRPr="009612D0" w:rsidRDefault="00E423DD" w:rsidP="00E423DD">
      <w:pPr>
        <w:widowControl w:val="0"/>
        <w:autoSpaceDE w:val="0"/>
        <w:autoSpaceDN w:val="0"/>
        <w:adjustRightInd w:val="0"/>
        <w:ind w:firstLine="284"/>
        <w:jc w:val="both"/>
        <w:rPr>
          <w:color w:val="FF0000"/>
          <w:lang w:val="en-GB"/>
        </w:rPr>
      </w:pPr>
      <w:r w:rsidRPr="009612D0">
        <w:rPr>
          <w:color w:val="FF0000"/>
          <w:lang w:val="en-GB"/>
        </w:rPr>
        <w:t>The contents variation of these two mixtures increases and reaches a maximum which remains invariant until the addition of a quantity of 33% while keeping acceptable content (fig. 7). For additions higher than 33%, this variation decreases in a remarkable way; the C</w:t>
      </w:r>
      <w:r w:rsidRPr="009612D0">
        <w:rPr>
          <w:color w:val="FF0000"/>
          <w:vertAlign w:val="subscript"/>
          <w:lang w:val="en-GB"/>
        </w:rPr>
        <w:t>org</w:t>
      </w:r>
      <w:r w:rsidRPr="009612D0">
        <w:rPr>
          <w:color w:val="FF0000"/>
          <w:lang w:val="en-GB"/>
        </w:rPr>
        <w:t>, CO</w:t>
      </w:r>
      <w:r w:rsidRPr="009612D0">
        <w:rPr>
          <w:color w:val="FF0000"/>
          <w:vertAlign w:val="subscript"/>
          <w:lang w:val="en-GB"/>
        </w:rPr>
        <w:t>2</w:t>
      </w:r>
      <w:r w:rsidRPr="009612D0">
        <w:rPr>
          <w:color w:val="FF0000"/>
          <w:lang w:val="en-GB"/>
        </w:rPr>
        <w:t>, P</w:t>
      </w:r>
      <w:r w:rsidRPr="009612D0">
        <w:rPr>
          <w:color w:val="FF0000"/>
          <w:vertAlign w:val="subscript"/>
          <w:lang w:val="en-GB"/>
        </w:rPr>
        <w:t>2</w:t>
      </w:r>
      <w:r w:rsidRPr="009612D0">
        <w:rPr>
          <w:color w:val="FF0000"/>
          <w:lang w:val="en-GB"/>
        </w:rPr>
        <w:t>O</w:t>
      </w:r>
      <w:r w:rsidRPr="009612D0">
        <w:rPr>
          <w:color w:val="FF0000"/>
          <w:vertAlign w:val="subscript"/>
          <w:lang w:val="en-GB"/>
        </w:rPr>
        <w:t>5</w:t>
      </w:r>
      <w:r w:rsidRPr="009612D0">
        <w:rPr>
          <w:b/>
          <w:bCs/>
          <w:color w:val="FF0000"/>
          <w:vertAlign w:val="subscript"/>
          <w:lang w:val="en-GB"/>
        </w:rPr>
        <w:t xml:space="preserve"> </w:t>
      </w:r>
      <w:r w:rsidRPr="009612D0">
        <w:rPr>
          <w:color w:val="FF0000"/>
          <w:lang w:val="en-GB"/>
        </w:rPr>
        <w:t>content and CaO obtained become higher than the useful values [23].</w:t>
      </w:r>
      <w:r w:rsidRPr="009612D0">
        <w:rPr>
          <w:color w:val="FF0000"/>
          <w:lang w:val="en-US"/>
        </w:rPr>
        <w:t xml:space="preserve"> The figure 8 shows the </w:t>
      </w:r>
      <w:r w:rsidRPr="009612D0">
        <w:rPr>
          <w:color w:val="FF0000"/>
          <w:lang w:val="en-GB"/>
        </w:rPr>
        <w:t>variation of the C</w:t>
      </w:r>
      <w:r w:rsidRPr="009612D0">
        <w:rPr>
          <w:color w:val="FF0000"/>
          <w:vertAlign w:val="subscript"/>
          <w:lang w:val="en-GB"/>
        </w:rPr>
        <w:t>org</w:t>
      </w:r>
      <w:r w:rsidRPr="009612D0">
        <w:rPr>
          <w:color w:val="FF0000"/>
          <w:lang w:val="en-GB"/>
        </w:rPr>
        <w:t>, CO</w:t>
      </w:r>
      <w:r w:rsidRPr="009612D0">
        <w:rPr>
          <w:color w:val="FF0000"/>
          <w:vertAlign w:val="subscript"/>
          <w:lang w:val="en-GB"/>
        </w:rPr>
        <w:t>2</w:t>
      </w:r>
      <w:r w:rsidRPr="009612D0">
        <w:rPr>
          <w:color w:val="FF0000"/>
          <w:lang w:val="en-GB"/>
        </w:rPr>
        <w:t>, P</w:t>
      </w:r>
      <w:r w:rsidRPr="009612D0">
        <w:rPr>
          <w:color w:val="FF0000"/>
          <w:vertAlign w:val="subscript"/>
          <w:lang w:val="en-GB"/>
        </w:rPr>
        <w:t>2</w:t>
      </w:r>
      <w:r w:rsidRPr="009612D0">
        <w:rPr>
          <w:color w:val="FF0000"/>
          <w:lang w:val="en-GB"/>
        </w:rPr>
        <w:t>O</w:t>
      </w:r>
      <w:r w:rsidRPr="009612D0">
        <w:rPr>
          <w:color w:val="FF0000"/>
          <w:vertAlign w:val="subscript"/>
          <w:lang w:val="en-GB"/>
        </w:rPr>
        <w:t>5</w:t>
      </w:r>
      <w:r w:rsidRPr="009612D0">
        <w:rPr>
          <w:color w:val="FF0000"/>
          <w:lang w:val="en-GB"/>
        </w:rPr>
        <w:t xml:space="preserve"> and CaO contents between the hot (MC) and the cold (MF) mixtures according to the added phosphate.</w:t>
      </w:r>
    </w:p>
    <w:p w:rsidR="00C91E49" w:rsidRDefault="00442C85" w:rsidP="00C91E49">
      <w:pPr>
        <w:widowControl w:val="0"/>
        <w:autoSpaceDE w:val="0"/>
        <w:autoSpaceDN w:val="0"/>
        <w:adjustRightInd w:val="0"/>
        <w:jc w:val="both"/>
        <w:rPr>
          <w:lang w:val="en-GB"/>
        </w:rPr>
      </w:pPr>
      <w:r>
        <w:rPr>
          <w:noProof/>
          <w:color w:val="800000"/>
        </w:rPr>
        <w:drawing>
          <wp:inline distT="0" distB="0" distL="0" distR="0">
            <wp:extent cx="2787015" cy="2443480"/>
            <wp:effectExtent l="0" t="0" r="0" b="0"/>
            <wp:docPr id="15" name="Obje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F1798D" w:rsidRPr="00C91E49">
        <w:rPr>
          <w:b/>
          <w:bCs/>
          <w:color w:val="FF0000"/>
          <w:sz w:val="20"/>
          <w:szCs w:val="20"/>
          <w:highlight w:val="lightGray"/>
          <w:lang w:val="en-US"/>
        </w:rPr>
        <w:t xml:space="preserve">Figure 8. </w:t>
      </w:r>
      <w:r w:rsidR="00C91E49" w:rsidRPr="00C91E49">
        <w:rPr>
          <w:color w:val="FF0000"/>
          <w:sz w:val="20"/>
          <w:szCs w:val="20"/>
          <w:lang w:val="en-GB"/>
        </w:rPr>
        <w:t>Variation of the Corg (×), CO</w:t>
      </w:r>
      <w:r w:rsidR="00C91E49" w:rsidRPr="00C91E49">
        <w:rPr>
          <w:color w:val="FF0000"/>
          <w:sz w:val="20"/>
          <w:szCs w:val="20"/>
          <w:vertAlign w:val="subscript"/>
          <w:lang w:val="en-GB"/>
        </w:rPr>
        <w:t>2</w:t>
      </w:r>
      <w:r w:rsidR="00C91E49" w:rsidRPr="00C91E49">
        <w:rPr>
          <w:color w:val="FF0000"/>
          <w:sz w:val="20"/>
          <w:szCs w:val="20"/>
          <w:lang w:val="en-GB"/>
        </w:rPr>
        <w:t xml:space="preserve"> (▲), P</w:t>
      </w:r>
      <w:r w:rsidR="00C91E49" w:rsidRPr="00C91E49">
        <w:rPr>
          <w:color w:val="FF0000"/>
          <w:sz w:val="20"/>
          <w:szCs w:val="20"/>
          <w:vertAlign w:val="subscript"/>
          <w:lang w:val="en-GB"/>
        </w:rPr>
        <w:t>2</w:t>
      </w:r>
      <w:r w:rsidR="00C91E49" w:rsidRPr="00C91E49">
        <w:rPr>
          <w:color w:val="FF0000"/>
          <w:sz w:val="20"/>
          <w:szCs w:val="20"/>
          <w:lang w:val="en-GB"/>
        </w:rPr>
        <w:t>O</w:t>
      </w:r>
      <w:r w:rsidR="00C91E49" w:rsidRPr="00C91E49">
        <w:rPr>
          <w:color w:val="FF0000"/>
          <w:sz w:val="20"/>
          <w:szCs w:val="20"/>
          <w:vertAlign w:val="subscript"/>
          <w:lang w:val="en-GB"/>
        </w:rPr>
        <w:t>5</w:t>
      </w:r>
      <w:r w:rsidR="00C91E49" w:rsidRPr="00C91E49">
        <w:rPr>
          <w:color w:val="FF0000"/>
          <w:sz w:val="20"/>
          <w:szCs w:val="20"/>
          <w:lang w:val="en-GB"/>
        </w:rPr>
        <w:t xml:space="preserve"> (■) and CaO (●) contents between the hot (MC) and the cold (MF) mixtures according to the added phosphate.</w:t>
      </w:r>
    </w:p>
    <w:p w:rsidR="00092DEB" w:rsidRPr="00361E6E" w:rsidRDefault="00092DEB" w:rsidP="00092DEB">
      <w:pPr>
        <w:tabs>
          <w:tab w:val="left" w:pos="4320"/>
        </w:tabs>
        <w:spacing w:before="120" w:after="120"/>
        <w:jc w:val="both"/>
        <w:rPr>
          <w:lang w:val="en-US"/>
        </w:rPr>
      </w:pPr>
      <w:r>
        <w:rPr>
          <w:b/>
          <w:bCs/>
          <w:lang w:val="en-GB"/>
        </w:rPr>
        <w:t xml:space="preserve">5. </w:t>
      </w:r>
      <w:r w:rsidRPr="00361E6E">
        <w:rPr>
          <w:b/>
          <w:bCs/>
          <w:lang w:val="en-GB"/>
        </w:rPr>
        <w:t>Characteristics of calcined phosphate and the mixtures of cold and hot phosphate</w:t>
      </w:r>
    </w:p>
    <w:p w:rsidR="00092DEB" w:rsidRDefault="00092DEB" w:rsidP="000900D1">
      <w:pPr>
        <w:widowControl w:val="0"/>
        <w:tabs>
          <w:tab w:val="left" w:pos="4320"/>
        </w:tabs>
        <w:autoSpaceDE w:val="0"/>
        <w:autoSpaceDN w:val="0"/>
        <w:adjustRightInd w:val="0"/>
        <w:jc w:val="both"/>
        <w:rPr>
          <w:lang w:val="en-GB"/>
        </w:rPr>
      </w:pPr>
      <w:r w:rsidRPr="00361E6E">
        <w:rPr>
          <w:lang w:val="en-GB"/>
        </w:rPr>
        <w:t xml:space="preserve">In order to emphasize the calcination of phosphate during the cooling cycle of phosphate calcined at </w:t>
      </w:r>
      <w:smartTag w:uri="urn:schemas-microsoft-com:office:smarttags" w:element="metricconverter">
        <w:smartTagPr>
          <w:attr w:name="ProductID" w:val="800ﾰC"/>
        </w:smartTagPr>
        <w:r w:rsidRPr="00361E6E">
          <w:rPr>
            <w:lang w:val="en-GB"/>
          </w:rPr>
          <w:t>800°C</w:t>
        </w:r>
      </w:smartTag>
      <w:r w:rsidRPr="00361E6E">
        <w:rPr>
          <w:lang w:val="en-GB"/>
        </w:rPr>
        <w:t xml:space="preserve"> during 30min, we have compared the characteristics of the crude phosphate (A), calcined phosphate (B) and the phosphate obtained by cold (C) and hot (D) mixtures (Tables </w:t>
      </w:r>
      <w:r>
        <w:rPr>
          <w:lang w:val="en-GB"/>
        </w:rPr>
        <w:t>"</w:t>
      </w:r>
      <w:r w:rsidR="002F7DD9">
        <w:rPr>
          <w:lang w:val="en-GB"/>
        </w:rPr>
        <w:t>3</w:t>
      </w:r>
      <w:r>
        <w:rPr>
          <w:lang w:val="en-GB"/>
        </w:rPr>
        <w:t>"</w:t>
      </w:r>
      <w:r w:rsidRPr="00361E6E">
        <w:rPr>
          <w:lang w:val="en-GB"/>
        </w:rPr>
        <w:t xml:space="preserve"> </w:t>
      </w:r>
      <w:r>
        <w:rPr>
          <w:lang w:val="en-GB"/>
        </w:rPr>
        <w:t>until</w:t>
      </w:r>
      <w:r w:rsidRPr="00361E6E">
        <w:rPr>
          <w:lang w:val="en-GB"/>
        </w:rPr>
        <w:t xml:space="preserve"> </w:t>
      </w:r>
      <w:r>
        <w:rPr>
          <w:lang w:val="en-GB"/>
        </w:rPr>
        <w:t>"</w:t>
      </w:r>
      <w:r w:rsidR="000900D1">
        <w:rPr>
          <w:lang w:val="en-GB"/>
        </w:rPr>
        <w:t>8</w:t>
      </w:r>
      <w:r>
        <w:rPr>
          <w:lang w:val="en-GB"/>
        </w:rPr>
        <w:t>"</w:t>
      </w:r>
      <w:r w:rsidRPr="00361E6E">
        <w:rPr>
          <w:lang w:val="en-GB"/>
        </w:rPr>
        <w:t>).</w:t>
      </w:r>
    </w:p>
    <w:p w:rsidR="00092DEB" w:rsidRPr="00361E6E" w:rsidRDefault="002F7DD9" w:rsidP="00092DEB">
      <w:pPr>
        <w:widowControl w:val="0"/>
        <w:tabs>
          <w:tab w:val="left" w:pos="4320"/>
        </w:tabs>
        <w:autoSpaceDE w:val="0"/>
        <w:autoSpaceDN w:val="0"/>
        <w:adjustRightInd w:val="0"/>
        <w:spacing w:before="240" w:after="240"/>
        <w:jc w:val="both"/>
        <w:rPr>
          <w:lang w:val="en-GB"/>
        </w:rPr>
      </w:pPr>
      <w:r>
        <w:rPr>
          <w:b/>
          <w:bCs/>
          <w:sz w:val="20"/>
          <w:szCs w:val="20"/>
          <w:lang w:val="en-GB"/>
        </w:rPr>
        <w:t>Table 3</w:t>
      </w:r>
      <w:r w:rsidR="00092DEB" w:rsidRPr="00361E6E">
        <w:rPr>
          <w:b/>
          <w:bCs/>
          <w:sz w:val="20"/>
          <w:szCs w:val="20"/>
          <w:lang w:val="en-GB"/>
        </w:rPr>
        <w:t>.</w:t>
      </w:r>
      <w:r w:rsidR="00092DEB" w:rsidRPr="00361E6E">
        <w:rPr>
          <w:sz w:val="20"/>
          <w:szCs w:val="20"/>
          <w:lang w:val="en-GB"/>
        </w:rPr>
        <w:t xml:space="preserve"> Conditions of preparation of various phosphates</w:t>
      </w:r>
    </w:p>
    <w:tbl>
      <w:tblPr>
        <w:tblW w:w="4257" w:type="dxa"/>
        <w:jc w:val="center"/>
        <w:tblInd w:w="-1394" w:type="dxa"/>
        <w:tblLayout w:type="fixed"/>
        <w:tblCellMar>
          <w:left w:w="70" w:type="dxa"/>
          <w:right w:w="70" w:type="dxa"/>
        </w:tblCellMar>
        <w:tblLook w:val="0000" w:firstRow="0" w:lastRow="0" w:firstColumn="0" w:lastColumn="0" w:noHBand="0" w:noVBand="0"/>
      </w:tblPr>
      <w:tblGrid>
        <w:gridCol w:w="1588"/>
        <w:gridCol w:w="2669"/>
      </w:tblGrid>
      <w:tr w:rsidR="00092DEB" w:rsidRPr="00361E6E">
        <w:tblPrEx>
          <w:tblCellMar>
            <w:top w:w="0" w:type="dxa"/>
            <w:bottom w:w="0" w:type="dxa"/>
          </w:tblCellMar>
        </w:tblPrEx>
        <w:trPr>
          <w:jc w:val="center"/>
        </w:trPr>
        <w:tc>
          <w:tcPr>
            <w:tcW w:w="1588"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rPr>
            </w:pPr>
            <w:r w:rsidRPr="00361E6E">
              <w:rPr>
                <w:sz w:val="20"/>
                <w:szCs w:val="20"/>
              </w:rPr>
              <w:t>Sample</w:t>
            </w:r>
          </w:p>
        </w:tc>
        <w:tc>
          <w:tcPr>
            <w:tcW w:w="2669"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rPr>
            </w:pPr>
            <w:r w:rsidRPr="00361E6E">
              <w:rPr>
                <w:sz w:val="20"/>
                <w:szCs w:val="20"/>
              </w:rPr>
              <w:t>Conditions of preparation</w:t>
            </w:r>
          </w:p>
        </w:tc>
      </w:tr>
      <w:tr w:rsidR="00092DEB" w:rsidRPr="00361E6E">
        <w:tblPrEx>
          <w:tblCellMar>
            <w:top w:w="0" w:type="dxa"/>
            <w:bottom w:w="0" w:type="dxa"/>
          </w:tblCellMar>
        </w:tblPrEx>
        <w:trPr>
          <w:jc w:val="center"/>
        </w:trPr>
        <w:tc>
          <w:tcPr>
            <w:tcW w:w="1588"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rPr>
            </w:pPr>
            <w:r w:rsidRPr="00361E6E">
              <w:rPr>
                <w:sz w:val="20"/>
                <w:szCs w:val="20"/>
                <w:lang w:val="en-GB"/>
              </w:rPr>
              <w:t xml:space="preserve">Crude </w:t>
            </w:r>
            <w:r w:rsidRPr="00361E6E">
              <w:rPr>
                <w:sz w:val="20"/>
                <w:szCs w:val="20"/>
              </w:rPr>
              <w:t>(A)</w:t>
            </w:r>
          </w:p>
        </w:tc>
        <w:tc>
          <w:tcPr>
            <w:tcW w:w="2669"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keepNext/>
              <w:widowControl w:val="0"/>
              <w:autoSpaceDE w:val="0"/>
              <w:autoSpaceDN w:val="0"/>
              <w:adjustRightInd w:val="0"/>
              <w:jc w:val="both"/>
              <w:rPr>
                <w:sz w:val="20"/>
                <w:szCs w:val="20"/>
              </w:rPr>
            </w:pPr>
            <w:r w:rsidRPr="00361E6E">
              <w:rPr>
                <w:sz w:val="20"/>
                <w:szCs w:val="20"/>
                <w:lang w:val="en-GB"/>
              </w:rPr>
              <w:t xml:space="preserve">Crude </w:t>
            </w:r>
            <w:r w:rsidRPr="00361E6E">
              <w:rPr>
                <w:sz w:val="20"/>
                <w:szCs w:val="20"/>
              </w:rPr>
              <w:t>phosphate</w:t>
            </w:r>
          </w:p>
        </w:tc>
      </w:tr>
      <w:tr w:rsidR="00092DEB" w:rsidRPr="00361E6E">
        <w:tblPrEx>
          <w:tblCellMar>
            <w:top w:w="0" w:type="dxa"/>
            <w:bottom w:w="0" w:type="dxa"/>
          </w:tblCellMar>
        </w:tblPrEx>
        <w:trPr>
          <w:jc w:val="center"/>
        </w:trPr>
        <w:tc>
          <w:tcPr>
            <w:tcW w:w="1588"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rPr>
            </w:pPr>
            <w:r w:rsidRPr="00361E6E">
              <w:rPr>
                <w:sz w:val="20"/>
                <w:szCs w:val="20"/>
              </w:rPr>
              <w:t>Calcined phosphate (B)</w:t>
            </w:r>
          </w:p>
        </w:tc>
        <w:tc>
          <w:tcPr>
            <w:tcW w:w="2669"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keepNext/>
              <w:widowControl w:val="0"/>
              <w:autoSpaceDE w:val="0"/>
              <w:autoSpaceDN w:val="0"/>
              <w:adjustRightInd w:val="0"/>
              <w:jc w:val="both"/>
              <w:rPr>
                <w:sz w:val="20"/>
                <w:szCs w:val="20"/>
                <w:lang w:val="en-GB"/>
              </w:rPr>
            </w:pPr>
            <w:r w:rsidRPr="00361E6E">
              <w:rPr>
                <w:sz w:val="20"/>
                <w:szCs w:val="20"/>
                <w:lang w:val="en-GB"/>
              </w:rPr>
              <w:t xml:space="preserve">Calcined phosphate at </w:t>
            </w:r>
            <w:smartTag w:uri="urn:schemas-microsoft-com:office:smarttags" w:element="metricconverter">
              <w:smartTagPr>
                <w:attr w:name="ProductID" w:val="800ﾰC"/>
              </w:smartTagPr>
              <w:r w:rsidRPr="00361E6E">
                <w:rPr>
                  <w:sz w:val="20"/>
                  <w:szCs w:val="20"/>
                  <w:lang w:val="en-GB"/>
                </w:rPr>
                <w:t>800°C</w:t>
              </w:r>
            </w:smartTag>
            <w:r w:rsidRPr="00361E6E">
              <w:rPr>
                <w:sz w:val="20"/>
                <w:szCs w:val="20"/>
                <w:lang w:val="en-GB"/>
              </w:rPr>
              <w:t xml:space="preserve"> during 30 min</w:t>
            </w:r>
          </w:p>
        </w:tc>
      </w:tr>
      <w:tr w:rsidR="00092DEB" w:rsidRPr="00361E6E">
        <w:tblPrEx>
          <w:tblCellMar>
            <w:top w:w="0" w:type="dxa"/>
            <w:bottom w:w="0" w:type="dxa"/>
          </w:tblCellMar>
        </w:tblPrEx>
        <w:trPr>
          <w:jc w:val="center"/>
        </w:trPr>
        <w:tc>
          <w:tcPr>
            <w:tcW w:w="1588"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rPr>
            </w:pPr>
            <w:r w:rsidRPr="00361E6E">
              <w:rPr>
                <w:sz w:val="20"/>
                <w:szCs w:val="20"/>
              </w:rPr>
              <w:t>Cold mixture (C)</w:t>
            </w:r>
          </w:p>
        </w:tc>
        <w:tc>
          <w:tcPr>
            <w:tcW w:w="2669"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lang w:val="en-GB"/>
              </w:rPr>
            </w:pPr>
            <w:r w:rsidRPr="00361E6E">
              <w:rPr>
                <w:sz w:val="20"/>
                <w:szCs w:val="20"/>
              </w:rPr>
              <w:t xml:space="preserve">[67% (B) + 33% </w:t>
            </w:r>
            <w:r w:rsidRPr="00361E6E">
              <w:rPr>
                <w:sz w:val="20"/>
                <w:szCs w:val="20"/>
                <w:lang w:val="en-GB"/>
              </w:rPr>
              <w:t xml:space="preserve">crude </w:t>
            </w:r>
            <w:r w:rsidRPr="00361E6E">
              <w:rPr>
                <w:sz w:val="20"/>
                <w:szCs w:val="20"/>
              </w:rPr>
              <w:t xml:space="preserve">(A)] </w:t>
            </w:r>
            <w:r w:rsidRPr="00361E6E">
              <w:rPr>
                <w:sz w:val="20"/>
                <w:szCs w:val="20"/>
                <w:lang w:val="en-GB"/>
              </w:rPr>
              <w:t>at ambient temperature</w:t>
            </w:r>
          </w:p>
        </w:tc>
      </w:tr>
      <w:tr w:rsidR="00092DEB" w:rsidRPr="00361E6E">
        <w:tblPrEx>
          <w:tblCellMar>
            <w:top w:w="0" w:type="dxa"/>
            <w:bottom w:w="0" w:type="dxa"/>
          </w:tblCellMar>
        </w:tblPrEx>
        <w:trPr>
          <w:jc w:val="center"/>
        </w:trPr>
        <w:tc>
          <w:tcPr>
            <w:tcW w:w="1588"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rPr>
            </w:pPr>
            <w:r w:rsidRPr="00361E6E">
              <w:rPr>
                <w:sz w:val="20"/>
                <w:szCs w:val="20"/>
              </w:rPr>
              <w:t>Hot mixture (D)</w:t>
            </w:r>
          </w:p>
        </w:tc>
        <w:tc>
          <w:tcPr>
            <w:tcW w:w="2669" w:type="dxa"/>
            <w:tcBorders>
              <w:top w:val="single" w:sz="6" w:space="0" w:color="auto"/>
              <w:left w:val="single" w:sz="6" w:space="0" w:color="auto"/>
              <w:bottom w:val="single" w:sz="6" w:space="0" w:color="auto"/>
              <w:right w:val="single" w:sz="6" w:space="0" w:color="auto"/>
            </w:tcBorders>
          </w:tcPr>
          <w:p w:rsidR="00092DEB" w:rsidRPr="00361E6E" w:rsidRDefault="00092DEB" w:rsidP="00EC023D">
            <w:pPr>
              <w:widowControl w:val="0"/>
              <w:autoSpaceDE w:val="0"/>
              <w:autoSpaceDN w:val="0"/>
              <w:adjustRightInd w:val="0"/>
              <w:jc w:val="both"/>
              <w:rPr>
                <w:sz w:val="20"/>
                <w:szCs w:val="20"/>
                <w:lang w:val="en-GB"/>
              </w:rPr>
            </w:pPr>
            <w:r w:rsidRPr="00361E6E">
              <w:rPr>
                <w:sz w:val="20"/>
                <w:szCs w:val="20"/>
                <w:lang w:val="en-GB"/>
              </w:rPr>
              <w:t xml:space="preserve">[(67% (B) + 33% crude (A)] at </w:t>
            </w:r>
            <w:smartTag w:uri="urn:schemas-microsoft-com:office:smarttags" w:element="metricconverter">
              <w:smartTagPr>
                <w:attr w:name="ProductID" w:val="800ﾰC"/>
              </w:smartTagPr>
              <w:r w:rsidRPr="00361E6E">
                <w:rPr>
                  <w:sz w:val="20"/>
                  <w:szCs w:val="20"/>
                  <w:lang w:val="en-GB"/>
                </w:rPr>
                <w:t>800°C</w:t>
              </w:r>
            </w:smartTag>
            <w:r w:rsidRPr="00361E6E">
              <w:rPr>
                <w:sz w:val="20"/>
                <w:szCs w:val="20"/>
                <w:lang w:val="en-GB"/>
              </w:rPr>
              <w:t xml:space="preserve"> then cooled under the atmospheric air</w:t>
            </w:r>
          </w:p>
        </w:tc>
      </w:tr>
    </w:tbl>
    <w:p w:rsidR="00A5099E" w:rsidRDefault="00A5099E" w:rsidP="000900D1">
      <w:pPr>
        <w:widowControl w:val="0"/>
        <w:tabs>
          <w:tab w:val="left" w:pos="4320"/>
        </w:tabs>
        <w:autoSpaceDE w:val="0"/>
        <w:autoSpaceDN w:val="0"/>
        <w:adjustRightInd w:val="0"/>
        <w:spacing w:before="120" w:after="120"/>
        <w:ind w:firstLine="284"/>
        <w:jc w:val="both"/>
        <w:rPr>
          <w:lang w:val="en-GB"/>
        </w:rPr>
      </w:pPr>
      <w:r w:rsidRPr="00361E6E">
        <w:rPr>
          <w:lang w:val="en-GB"/>
        </w:rPr>
        <w:t xml:space="preserve">The obtained results are presented in tables </w:t>
      </w:r>
      <w:r w:rsidR="002F7DD9">
        <w:rPr>
          <w:lang w:val="en-GB"/>
        </w:rPr>
        <w:t>4</w:t>
      </w:r>
      <w:r w:rsidRPr="00361E6E">
        <w:rPr>
          <w:lang w:val="en-GB"/>
        </w:rPr>
        <w:t xml:space="preserve"> until </w:t>
      </w:r>
      <w:r w:rsidR="000900D1">
        <w:rPr>
          <w:lang w:val="en-GB"/>
        </w:rPr>
        <w:t>8</w:t>
      </w:r>
      <w:r w:rsidRPr="00361E6E">
        <w:rPr>
          <w:lang w:val="en-GB"/>
        </w:rPr>
        <w:t>.</w:t>
      </w:r>
    </w:p>
    <w:p w:rsidR="001801B1" w:rsidRPr="000900D1" w:rsidRDefault="001801B1" w:rsidP="000900D1">
      <w:pPr>
        <w:spacing w:before="120" w:after="120"/>
        <w:jc w:val="both"/>
        <w:rPr>
          <w:lang w:val="en-US"/>
        </w:rPr>
      </w:pPr>
      <w:r w:rsidRPr="00361E6E">
        <w:rPr>
          <w:b/>
          <w:bCs/>
          <w:sz w:val="20"/>
          <w:szCs w:val="20"/>
          <w:lang w:val="en-GB"/>
        </w:rPr>
        <w:t xml:space="preserve">Table </w:t>
      </w:r>
      <w:r w:rsidR="000900D1">
        <w:rPr>
          <w:b/>
          <w:bCs/>
          <w:sz w:val="20"/>
          <w:szCs w:val="20"/>
          <w:lang w:val="en-GB"/>
        </w:rPr>
        <w:t>4</w:t>
      </w:r>
      <w:r w:rsidRPr="00361E6E">
        <w:rPr>
          <w:b/>
          <w:bCs/>
          <w:sz w:val="20"/>
          <w:szCs w:val="20"/>
          <w:lang w:val="en-GB"/>
        </w:rPr>
        <w:t>.</w:t>
      </w:r>
      <w:r w:rsidRPr="00361E6E">
        <w:rPr>
          <w:sz w:val="20"/>
          <w:szCs w:val="20"/>
          <w:lang w:val="en-GB"/>
        </w:rPr>
        <w:t xml:space="preserve"> Average chemical composition of </w:t>
      </w:r>
      <w:r w:rsidRPr="00361E6E">
        <w:rPr>
          <w:sz w:val="20"/>
          <w:szCs w:val="20"/>
          <w:lang w:val="en-US"/>
        </w:rPr>
        <w:t xml:space="preserve">different types of the </w:t>
      </w:r>
      <w:r w:rsidR="00C50F31">
        <w:rPr>
          <w:sz w:val="20"/>
          <w:szCs w:val="20"/>
          <w:lang w:val="en-US"/>
        </w:rPr>
        <w:t>Bouchane</w:t>
      </w:r>
      <w:r w:rsidRPr="00361E6E">
        <w:rPr>
          <w:sz w:val="20"/>
          <w:szCs w:val="20"/>
          <w:lang w:val="en-US"/>
        </w:rPr>
        <w:t xml:space="preserve"> phosphates</w:t>
      </w:r>
      <w:r w:rsidR="000900D1">
        <w:rPr>
          <w:sz w:val="20"/>
          <w:szCs w:val="20"/>
          <w:lang w:val="en-GB"/>
        </w:rPr>
        <w:t xml:space="preserve"> by </w:t>
      </w:r>
      <w:r w:rsidR="000900D1" w:rsidRPr="001520B9">
        <w:rPr>
          <w:color w:val="FF0000"/>
          <w:sz w:val="20"/>
          <w:szCs w:val="20"/>
          <w:lang w:val="en-US"/>
        </w:rPr>
        <w:t>volumetric chemical analysis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
        <w:gridCol w:w="720"/>
        <w:gridCol w:w="720"/>
        <w:gridCol w:w="720"/>
      </w:tblGrid>
      <w:tr w:rsidR="00500979" w:rsidRPr="00E423DD" w:rsidTr="00A465E2">
        <w:tc>
          <w:tcPr>
            <w:tcW w:w="1188" w:type="dxa"/>
            <w:shd w:val="clear" w:color="auto" w:fill="auto"/>
          </w:tcPr>
          <w:p w:rsidR="00500979" w:rsidRPr="00E423DD" w:rsidRDefault="00500979" w:rsidP="00500979">
            <w:pPr>
              <w:rPr>
                <w:lang w:bidi="ar-MA"/>
              </w:rPr>
            </w:pPr>
            <w:r w:rsidRPr="00A465E2">
              <w:rPr>
                <w:sz w:val="20"/>
                <w:szCs w:val="20"/>
              </w:rPr>
              <w:t>Elements</w:t>
            </w:r>
          </w:p>
        </w:tc>
        <w:tc>
          <w:tcPr>
            <w:tcW w:w="720" w:type="dxa"/>
            <w:shd w:val="clear" w:color="auto" w:fill="auto"/>
          </w:tcPr>
          <w:p w:rsidR="00500979" w:rsidRPr="00E423DD" w:rsidRDefault="00500979" w:rsidP="00500979">
            <w:pPr>
              <w:rPr>
                <w:lang w:bidi="ar-MA"/>
              </w:rPr>
            </w:pPr>
            <w:r w:rsidRPr="00A465E2">
              <w:rPr>
                <w:sz w:val="20"/>
                <w:szCs w:val="20"/>
              </w:rPr>
              <w:t>A</w:t>
            </w:r>
          </w:p>
        </w:tc>
        <w:tc>
          <w:tcPr>
            <w:tcW w:w="720" w:type="dxa"/>
            <w:shd w:val="clear" w:color="auto" w:fill="auto"/>
          </w:tcPr>
          <w:p w:rsidR="00500979" w:rsidRPr="00E423DD" w:rsidRDefault="00500979" w:rsidP="00500979">
            <w:pPr>
              <w:rPr>
                <w:lang w:bidi="ar-MA"/>
              </w:rPr>
            </w:pPr>
            <w:r w:rsidRPr="00A465E2">
              <w:rPr>
                <w:sz w:val="20"/>
                <w:szCs w:val="20"/>
              </w:rPr>
              <w:t xml:space="preserve">B </w:t>
            </w:r>
          </w:p>
        </w:tc>
        <w:tc>
          <w:tcPr>
            <w:tcW w:w="720" w:type="dxa"/>
            <w:shd w:val="clear" w:color="auto" w:fill="auto"/>
          </w:tcPr>
          <w:p w:rsidR="00500979" w:rsidRPr="00E423DD" w:rsidRDefault="00500979" w:rsidP="00500979">
            <w:pPr>
              <w:rPr>
                <w:lang w:bidi="ar-MA"/>
              </w:rPr>
            </w:pPr>
            <w:r w:rsidRPr="00A465E2">
              <w:rPr>
                <w:sz w:val="20"/>
                <w:szCs w:val="20"/>
              </w:rPr>
              <w:t>C</w:t>
            </w:r>
          </w:p>
        </w:tc>
        <w:tc>
          <w:tcPr>
            <w:tcW w:w="720" w:type="dxa"/>
            <w:shd w:val="clear" w:color="auto" w:fill="auto"/>
          </w:tcPr>
          <w:p w:rsidR="00500979" w:rsidRPr="00E423DD" w:rsidRDefault="00500979" w:rsidP="00500979">
            <w:pPr>
              <w:rPr>
                <w:lang w:bidi="ar-MA"/>
              </w:rPr>
            </w:pPr>
            <w:r w:rsidRPr="00A465E2">
              <w:rPr>
                <w:sz w:val="20"/>
                <w:szCs w:val="20"/>
              </w:rPr>
              <w:t>D</w:t>
            </w:r>
          </w:p>
        </w:tc>
      </w:tr>
      <w:tr w:rsidR="00500979" w:rsidRPr="00E423DD" w:rsidTr="00A465E2">
        <w:tc>
          <w:tcPr>
            <w:tcW w:w="1188" w:type="dxa"/>
            <w:shd w:val="clear" w:color="auto" w:fill="auto"/>
          </w:tcPr>
          <w:p w:rsidR="00500979" w:rsidRPr="00E423DD" w:rsidRDefault="00500979" w:rsidP="00500979">
            <w:pPr>
              <w:rPr>
                <w:lang w:bidi="ar-MA"/>
              </w:rPr>
            </w:pPr>
            <w:r w:rsidRPr="00A465E2">
              <w:rPr>
                <w:sz w:val="20"/>
                <w:szCs w:val="20"/>
              </w:rPr>
              <w:t>P</w:t>
            </w:r>
            <w:r w:rsidRPr="00A465E2">
              <w:rPr>
                <w:sz w:val="20"/>
                <w:szCs w:val="20"/>
                <w:vertAlign w:val="subscript"/>
              </w:rPr>
              <w:t>2</w:t>
            </w:r>
            <w:r w:rsidRPr="00A465E2">
              <w:rPr>
                <w:sz w:val="20"/>
                <w:szCs w:val="20"/>
              </w:rPr>
              <w:t>O</w:t>
            </w:r>
            <w:r w:rsidRPr="00A465E2">
              <w:rPr>
                <w:sz w:val="20"/>
                <w:szCs w:val="20"/>
                <w:vertAlign w:val="subscript"/>
              </w:rPr>
              <w:t xml:space="preserve">5 </w:t>
            </w:r>
            <w:r w:rsidRPr="00A465E2">
              <w:rPr>
                <w:sz w:val="20"/>
                <w:szCs w:val="20"/>
              </w:rPr>
              <w:t>(%)</w:t>
            </w:r>
          </w:p>
        </w:tc>
        <w:tc>
          <w:tcPr>
            <w:tcW w:w="720" w:type="dxa"/>
            <w:shd w:val="clear" w:color="auto" w:fill="auto"/>
          </w:tcPr>
          <w:p w:rsidR="00500979" w:rsidRPr="00E423DD" w:rsidRDefault="00500979" w:rsidP="00500979">
            <w:pPr>
              <w:rPr>
                <w:lang w:bidi="ar-MA"/>
              </w:rPr>
            </w:pPr>
            <w:r w:rsidRPr="00A465E2">
              <w:rPr>
                <w:sz w:val="20"/>
                <w:szCs w:val="20"/>
              </w:rPr>
              <w:t>30,39</w:t>
            </w:r>
          </w:p>
        </w:tc>
        <w:tc>
          <w:tcPr>
            <w:tcW w:w="720" w:type="dxa"/>
            <w:shd w:val="clear" w:color="auto" w:fill="auto"/>
          </w:tcPr>
          <w:p w:rsidR="00500979" w:rsidRPr="00E423DD" w:rsidRDefault="00500979" w:rsidP="00500979">
            <w:pPr>
              <w:rPr>
                <w:lang w:bidi="ar-MA"/>
              </w:rPr>
            </w:pPr>
            <w:r w:rsidRPr="00A465E2">
              <w:rPr>
                <w:sz w:val="20"/>
                <w:szCs w:val="20"/>
              </w:rPr>
              <w:t>34,23</w:t>
            </w:r>
          </w:p>
        </w:tc>
        <w:tc>
          <w:tcPr>
            <w:tcW w:w="720" w:type="dxa"/>
            <w:shd w:val="clear" w:color="auto" w:fill="auto"/>
          </w:tcPr>
          <w:p w:rsidR="00500979" w:rsidRPr="00E423DD" w:rsidRDefault="00500979" w:rsidP="00500979">
            <w:pPr>
              <w:rPr>
                <w:lang w:bidi="ar-MA"/>
              </w:rPr>
            </w:pPr>
            <w:r w:rsidRPr="00A465E2">
              <w:rPr>
                <w:sz w:val="20"/>
                <w:szCs w:val="20"/>
              </w:rPr>
              <w:t>33</w:t>
            </w:r>
          </w:p>
        </w:tc>
        <w:tc>
          <w:tcPr>
            <w:tcW w:w="720" w:type="dxa"/>
            <w:shd w:val="clear" w:color="auto" w:fill="auto"/>
          </w:tcPr>
          <w:p w:rsidR="00500979" w:rsidRPr="00E423DD" w:rsidRDefault="00500979" w:rsidP="00500979">
            <w:pPr>
              <w:rPr>
                <w:lang w:bidi="ar-MA"/>
              </w:rPr>
            </w:pPr>
            <w:r w:rsidRPr="00A465E2">
              <w:rPr>
                <w:sz w:val="20"/>
                <w:szCs w:val="20"/>
              </w:rPr>
              <w:t>33,45</w:t>
            </w:r>
          </w:p>
        </w:tc>
      </w:tr>
      <w:tr w:rsidR="00500979" w:rsidRPr="00E423DD" w:rsidTr="00A465E2">
        <w:tc>
          <w:tcPr>
            <w:tcW w:w="1188" w:type="dxa"/>
            <w:shd w:val="clear" w:color="auto" w:fill="auto"/>
          </w:tcPr>
          <w:p w:rsidR="00500979" w:rsidRPr="00E423DD" w:rsidRDefault="00500979" w:rsidP="00500979">
            <w:pPr>
              <w:rPr>
                <w:lang w:bidi="ar-MA"/>
              </w:rPr>
            </w:pPr>
            <w:r w:rsidRPr="00A465E2">
              <w:rPr>
                <w:sz w:val="20"/>
                <w:szCs w:val="20"/>
              </w:rPr>
              <w:t>CaO (%)</w:t>
            </w:r>
          </w:p>
        </w:tc>
        <w:tc>
          <w:tcPr>
            <w:tcW w:w="720" w:type="dxa"/>
            <w:shd w:val="clear" w:color="auto" w:fill="auto"/>
          </w:tcPr>
          <w:p w:rsidR="00500979" w:rsidRPr="00E423DD" w:rsidRDefault="00500979" w:rsidP="00500979">
            <w:pPr>
              <w:rPr>
                <w:lang w:bidi="ar-MA"/>
              </w:rPr>
            </w:pPr>
            <w:r w:rsidRPr="00A465E2">
              <w:rPr>
                <w:sz w:val="20"/>
                <w:szCs w:val="20"/>
              </w:rPr>
              <w:t>48,20</w:t>
            </w:r>
          </w:p>
        </w:tc>
        <w:tc>
          <w:tcPr>
            <w:tcW w:w="720" w:type="dxa"/>
            <w:shd w:val="clear" w:color="auto" w:fill="auto"/>
          </w:tcPr>
          <w:p w:rsidR="00500979" w:rsidRPr="00E423DD" w:rsidRDefault="00500979" w:rsidP="00500979">
            <w:pPr>
              <w:rPr>
                <w:lang w:bidi="ar-MA"/>
              </w:rPr>
            </w:pPr>
            <w:r w:rsidRPr="00A465E2">
              <w:rPr>
                <w:sz w:val="20"/>
                <w:szCs w:val="20"/>
              </w:rPr>
              <w:t>54,77</w:t>
            </w:r>
          </w:p>
        </w:tc>
        <w:tc>
          <w:tcPr>
            <w:tcW w:w="720" w:type="dxa"/>
            <w:shd w:val="clear" w:color="auto" w:fill="auto"/>
          </w:tcPr>
          <w:p w:rsidR="00500979" w:rsidRPr="00E423DD" w:rsidRDefault="00500979" w:rsidP="00500979">
            <w:pPr>
              <w:rPr>
                <w:lang w:bidi="ar-MA"/>
              </w:rPr>
            </w:pPr>
            <w:r w:rsidRPr="00A465E2">
              <w:rPr>
                <w:sz w:val="20"/>
                <w:szCs w:val="20"/>
              </w:rPr>
              <w:t>52,88</w:t>
            </w:r>
          </w:p>
        </w:tc>
        <w:tc>
          <w:tcPr>
            <w:tcW w:w="720" w:type="dxa"/>
            <w:shd w:val="clear" w:color="auto" w:fill="auto"/>
          </w:tcPr>
          <w:p w:rsidR="00500979" w:rsidRPr="00E423DD" w:rsidRDefault="00500979" w:rsidP="00500979">
            <w:pPr>
              <w:rPr>
                <w:lang w:bidi="ar-MA"/>
              </w:rPr>
            </w:pPr>
            <w:r w:rsidRPr="00A465E2">
              <w:rPr>
                <w:sz w:val="20"/>
                <w:szCs w:val="20"/>
              </w:rPr>
              <w:t>53,45</w:t>
            </w:r>
          </w:p>
        </w:tc>
      </w:tr>
      <w:tr w:rsidR="00500979" w:rsidRPr="00E423DD" w:rsidTr="00A465E2">
        <w:tc>
          <w:tcPr>
            <w:tcW w:w="1188" w:type="dxa"/>
            <w:shd w:val="clear" w:color="auto" w:fill="auto"/>
          </w:tcPr>
          <w:p w:rsidR="00500979" w:rsidRPr="00E423DD" w:rsidRDefault="00500979" w:rsidP="00500979">
            <w:pPr>
              <w:rPr>
                <w:lang w:bidi="ar-MA"/>
              </w:rPr>
            </w:pPr>
            <w:r w:rsidRPr="00A465E2">
              <w:rPr>
                <w:sz w:val="20"/>
                <w:szCs w:val="20"/>
              </w:rPr>
              <w:t>H</w:t>
            </w:r>
            <w:r w:rsidRPr="00A465E2">
              <w:rPr>
                <w:sz w:val="20"/>
                <w:szCs w:val="20"/>
                <w:vertAlign w:val="subscript"/>
              </w:rPr>
              <w:t>2</w:t>
            </w:r>
            <w:r w:rsidRPr="00A465E2">
              <w:rPr>
                <w:sz w:val="20"/>
                <w:szCs w:val="20"/>
              </w:rPr>
              <w:t>O (%)</w:t>
            </w:r>
          </w:p>
        </w:tc>
        <w:tc>
          <w:tcPr>
            <w:tcW w:w="720" w:type="dxa"/>
            <w:shd w:val="clear" w:color="auto" w:fill="auto"/>
          </w:tcPr>
          <w:p w:rsidR="00500979" w:rsidRPr="00E423DD" w:rsidRDefault="00500979" w:rsidP="00500979">
            <w:pPr>
              <w:rPr>
                <w:lang w:bidi="ar-MA"/>
              </w:rPr>
            </w:pPr>
            <w:r w:rsidRPr="00A465E2">
              <w:rPr>
                <w:sz w:val="20"/>
                <w:szCs w:val="20"/>
              </w:rPr>
              <w:t>5,60</w:t>
            </w:r>
          </w:p>
        </w:tc>
        <w:tc>
          <w:tcPr>
            <w:tcW w:w="720" w:type="dxa"/>
            <w:shd w:val="clear" w:color="auto" w:fill="auto"/>
          </w:tcPr>
          <w:p w:rsidR="00500979" w:rsidRPr="00E423DD" w:rsidRDefault="00500979" w:rsidP="00500979">
            <w:pPr>
              <w:rPr>
                <w:lang w:bidi="ar-MA"/>
              </w:rPr>
            </w:pPr>
            <w:r w:rsidRPr="00A465E2">
              <w:rPr>
                <w:sz w:val="20"/>
                <w:szCs w:val="20"/>
              </w:rPr>
              <w:t>2,10</w:t>
            </w:r>
          </w:p>
        </w:tc>
        <w:tc>
          <w:tcPr>
            <w:tcW w:w="720" w:type="dxa"/>
            <w:shd w:val="clear" w:color="auto" w:fill="auto"/>
          </w:tcPr>
          <w:p w:rsidR="00500979" w:rsidRPr="00E423DD" w:rsidRDefault="00500979" w:rsidP="00500979">
            <w:pPr>
              <w:rPr>
                <w:lang w:bidi="ar-MA"/>
              </w:rPr>
            </w:pPr>
            <w:r w:rsidRPr="00A465E2">
              <w:rPr>
                <w:sz w:val="20"/>
                <w:szCs w:val="20"/>
              </w:rPr>
              <w:t>3,5</w:t>
            </w:r>
          </w:p>
        </w:tc>
        <w:tc>
          <w:tcPr>
            <w:tcW w:w="720" w:type="dxa"/>
            <w:shd w:val="clear" w:color="auto" w:fill="auto"/>
          </w:tcPr>
          <w:p w:rsidR="00500979" w:rsidRPr="00E423DD" w:rsidRDefault="00500979" w:rsidP="00500979">
            <w:pPr>
              <w:rPr>
                <w:lang w:bidi="ar-MA"/>
              </w:rPr>
            </w:pPr>
            <w:r w:rsidRPr="00A465E2">
              <w:rPr>
                <w:sz w:val="20"/>
                <w:szCs w:val="20"/>
              </w:rPr>
              <w:t>3,10</w:t>
            </w:r>
          </w:p>
        </w:tc>
      </w:tr>
      <w:tr w:rsidR="00500979" w:rsidRPr="00E423DD" w:rsidTr="00A465E2">
        <w:tc>
          <w:tcPr>
            <w:tcW w:w="1188" w:type="dxa"/>
            <w:shd w:val="clear" w:color="auto" w:fill="auto"/>
          </w:tcPr>
          <w:p w:rsidR="00500979" w:rsidRPr="00E423DD" w:rsidRDefault="00500979" w:rsidP="00500979">
            <w:pPr>
              <w:rPr>
                <w:lang w:bidi="ar-MA"/>
              </w:rPr>
            </w:pPr>
            <w:r w:rsidRPr="00A465E2">
              <w:rPr>
                <w:sz w:val="20"/>
                <w:szCs w:val="20"/>
              </w:rPr>
              <w:t>C</w:t>
            </w:r>
            <w:r w:rsidRPr="00A465E2">
              <w:rPr>
                <w:sz w:val="20"/>
                <w:szCs w:val="20"/>
                <w:vertAlign w:val="subscript"/>
              </w:rPr>
              <w:t xml:space="preserve">org </w:t>
            </w:r>
            <w:r w:rsidRPr="00A465E2">
              <w:rPr>
                <w:sz w:val="20"/>
                <w:szCs w:val="20"/>
              </w:rPr>
              <w:t>(%)</w:t>
            </w:r>
          </w:p>
        </w:tc>
        <w:tc>
          <w:tcPr>
            <w:tcW w:w="720" w:type="dxa"/>
            <w:shd w:val="clear" w:color="auto" w:fill="auto"/>
          </w:tcPr>
          <w:p w:rsidR="00500979" w:rsidRPr="00E423DD" w:rsidRDefault="00500979" w:rsidP="00500979">
            <w:pPr>
              <w:rPr>
                <w:lang w:bidi="ar-MA"/>
              </w:rPr>
            </w:pPr>
            <w:r w:rsidRPr="00A465E2">
              <w:rPr>
                <w:sz w:val="20"/>
                <w:szCs w:val="20"/>
              </w:rPr>
              <w:t>1,4</w:t>
            </w:r>
          </w:p>
        </w:tc>
        <w:tc>
          <w:tcPr>
            <w:tcW w:w="720" w:type="dxa"/>
            <w:shd w:val="clear" w:color="auto" w:fill="auto"/>
          </w:tcPr>
          <w:p w:rsidR="00500979" w:rsidRPr="00E423DD" w:rsidRDefault="00500979" w:rsidP="00500979">
            <w:pPr>
              <w:rPr>
                <w:lang w:bidi="ar-MA"/>
              </w:rPr>
            </w:pPr>
            <w:r w:rsidRPr="00A465E2">
              <w:rPr>
                <w:sz w:val="20"/>
                <w:szCs w:val="20"/>
              </w:rPr>
              <w:t>0,15</w:t>
            </w:r>
          </w:p>
        </w:tc>
        <w:tc>
          <w:tcPr>
            <w:tcW w:w="720" w:type="dxa"/>
            <w:shd w:val="clear" w:color="auto" w:fill="auto"/>
          </w:tcPr>
          <w:p w:rsidR="00500979" w:rsidRPr="00E423DD" w:rsidRDefault="00500979" w:rsidP="00500979">
            <w:pPr>
              <w:rPr>
                <w:lang w:bidi="ar-MA"/>
              </w:rPr>
            </w:pPr>
            <w:r w:rsidRPr="00A465E2">
              <w:rPr>
                <w:sz w:val="20"/>
                <w:szCs w:val="20"/>
              </w:rPr>
              <w:t>0,46</w:t>
            </w:r>
          </w:p>
        </w:tc>
        <w:tc>
          <w:tcPr>
            <w:tcW w:w="720" w:type="dxa"/>
            <w:shd w:val="clear" w:color="auto" w:fill="auto"/>
          </w:tcPr>
          <w:p w:rsidR="00500979" w:rsidRPr="00E423DD" w:rsidRDefault="00500979" w:rsidP="00500979">
            <w:pPr>
              <w:rPr>
                <w:lang w:bidi="ar-MA"/>
              </w:rPr>
            </w:pPr>
            <w:r w:rsidRPr="00A465E2">
              <w:rPr>
                <w:sz w:val="20"/>
                <w:szCs w:val="20"/>
              </w:rPr>
              <w:t>0,30</w:t>
            </w:r>
          </w:p>
        </w:tc>
      </w:tr>
      <w:tr w:rsidR="00500979" w:rsidRPr="00E423DD" w:rsidTr="00A465E2">
        <w:tc>
          <w:tcPr>
            <w:tcW w:w="1188" w:type="dxa"/>
            <w:shd w:val="clear" w:color="auto" w:fill="auto"/>
          </w:tcPr>
          <w:p w:rsidR="00500979" w:rsidRPr="00E423DD" w:rsidRDefault="00500979" w:rsidP="00500979">
            <w:pPr>
              <w:rPr>
                <w:lang w:bidi="ar-MA"/>
              </w:rPr>
            </w:pPr>
            <w:r w:rsidRPr="00A465E2">
              <w:rPr>
                <w:sz w:val="20"/>
                <w:szCs w:val="20"/>
              </w:rPr>
              <w:t>CO</w:t>
            </w:r>
            <w:r w:rsidRPr="00A465E2">
              <w:rPr>
                <w:sz w:val="20"/>
                <w:szCs w:val="20"/>
                <w:vertAlign w:val="subscript"/>
              </w:rPr>
              <w:t>2</w:t>
            </w:r>
            <w:r w:rsidRPr="00A465E2">
              <w:rPr>
                <w:sz w:val="20"/>
                <w:szCs w:val="20"/>
              </w:rPr>
              <w:t xml:space="preserve"> (%)</w:t>
            </w:r>
          </w:p>
        </w:tc>
        <w:tc>
          <w:tcPr>
            <w:tcW w:w="720" w:type="dxa"/>
            <w:shd w:val="clear" w:color="auto" w:fill="auto"/>
          </w:tcPr>
          <w:p w:rsidR="00500979" w:rsidRPr="00E423DD" w:rsidRDefault="00500979" w:rsidP="00500979">
            <w:pPr>
              <w:rPr>
                <w:lang w:bidi="ar-MA"/>
              </w:rPr>
            </w:pPr>
            <w:r w:rsidRPr="00A465E2">
              <w:rPr>
                <w:sz w:val="20"/>
                <w:szCs w:val="20"/>
              </w:rPr>
              <w:t>6,6</w:t>
            </w:r>
          </w:p>
        </w:tc>
        <w:tc>
          <w:tcPr>
            <w:tcW w:w="720" w:type="dxa"/>
            <w:shd w:val="clear" w:color="auto" w:fill="auto"/>
          </w:tcPr>
          <w:p w:rsidR="00500979" w:rsidRPr="00E423DD" w:rsidRDefault="00500979" w:rsidP="00500979">
            <w:pPr>
              <w:rPr>
                <w:lang w:bidi="ar-MA"/>
              </w:rPr>
            </w:pPr>
            <w:r w:rsidRPr="00A465E2">
              <w:rPr>
                <w:sz w:val="20"/>
                <w:szCs w:val="20"/>
              </w:rPr>
              <w:t>1,8</w:t>
            </w:r>
          </w:p>
        </w:tc>
        <w:tc>
          <w:tcPr>
            <w:tcW w:w="720" w:type="dxa"/>
            <w:shd w:val="clear" w:color="auto" w:fill="auto"/>
          </w:tcPr>
          <w:p w:rsidR="00500979" w:rsidRPr="00E423DD" w:rsidRDefault="00500979" w:rsidP="00500979">
            <w:pPr>
              <w:rPr>
                <w:lang w:bidi="ar-MA"/>
              </w:rPr>
            </w:pPr>
            <w:r w:rsidRPr="00A465E2">
              <w:rPr>
                <w:sz w:val="20"/>
                <w:szCs w:val="20"/>
              </w:rPr>
              <w:t>3,00</w:t>
            </w:r>
          </w:p>
        </w:tc>
        <w:tc>
          <w:tcPr>
            <w:tcW w:w="720" w:type="dxa"/>
            <w:shd w:val="clear" w:color="auto" w:fill="auto"/>
          </w:tcPr>
          <w:p w:rsidR="00500979" w:rsidRPr="00E423DD" w:rsidRDefault="00500979" w:rsidP="00500979">
            <w:pPr>
              <w:rPr>
                <w:lang w:bidi="ar-MA"/>
              </w:rPr>
            </w:pPr>
            <w:r w:rsidRPr="00A465E2">
              <w:rPr>
                <w:sz w:val="20"/>
                <w:szCs w:val="20"/>
              </w:rPr>
              <w:t>2,4</w:t>
            </w:r>
          </w:p>
        </w:tc>
      </w:tr>
      <w:tr w:rsidR="00500979" w:rsidRPr="00E423DD" w:rsidTr="00A465E2">
        <w:tc>
          <w:tcPr>
            <w:tcW w:w="1188" w:type="dxa"/>
            <w:shd w:val="clear" w:color="auto" w:fill="auto"/>
          </w:tcPr>
          <w:p w:rsidR="00500979" w:rsidRPr="00E423DD" w:rsidRDefault="00500979" w:rsidP="00500979">
            <w:pPr>
              <w:rPr>
                <w:lang w:bidi="ar-MA"/>
              </w:rPr>
            </w:pPr>
            <w:r w:rsidRPr="00A465E2">
              <w:rPr>
                <w:sz w:val="20"/>
                <w:szCs w:val="20"/>
              </w:rPr>
              <w:t>Others (%)</w:t>
            </w:r>
          </w:p>
        </w:tc>
        <w:tc>
          <w:tcPr>
            <w:tcW w:w="720" w:type="dxa"/>
            <w:shd w:val="clear" w:color="auto" w:fill="auto"/>
          </w:tcPr>
          <w:p w:rsidR="00500979" w:rsidRPr="00E423DD" w:rsidRDefault="00500979" w:rsidP="00500979">
            <w:pPr>
              <w:rPr>
                <w:lang w:bidi="ar-MA"/>
              </w:rPr>
            </w:pPr>
            <w:r w:rsidRPr="00A465E2">
              <w:rPr>
                <w:sz w:val="20"/>
                <w:szCs w:val="20"/>
              </w:rPr>
              <w:t>7,81</w:t>
            </w:r>
          </w:p>
        </w:tc>
        <w:tc>
          <w:tcPr>
            <w:tcW w:w="720" w:type="dxa"/>
            <w:shd w:val="clear" w:color="auto" w:fill="auto"/>
          </w:tcPr>
          <w:p w:rsidR="00500979" w:rsidRPr="00E423DD" w:rsidRDefault="00500979" w:rsidP="00500979">
            <w:pPr>
              <w:rPr>
                <w:lang w:bidi="ar-MA"/>
              </w:rPr>
            </w:pPr>
            <w:r w:rsidRPr="00A465E2">
              <w:rPr>
                <w:sz w:val="20"/>
                <w:szCs w:val="20"/>
              </w:rPr>
              <w:t>6,95</w:t>
            </w:r>
          </w:p>
        </w:tc>
        <w:tc>
          <w:tcPr>
            <w:tcW w:w="720" w:type="dxa"/>
            <w:shd w:val="clear" w:color="auto" w:fill="auto"/>
          </w:tcPr>
          <w:p w:rsidR="00500979" w:rsidRPr="00E423DD" w:rsidRDefault="00500979" w:rsidP="00500979">
            <w:pPr>
              <w:rPr>
                <w:lang w:bidi="ar-MA"/>
              </w:rPr>
            </w:pPr>
            <w:r w:rsidRPr="00A465E2">
              <w:rPr>
                <w:sz w:val="20"/>
                <w:szCs w:val="20"/>
              </w:rPr>
              <w:t>7,16</w:t>
            </w:r>
          </w:p>
        </w:tc>
        <w:tc>
          <w:tcPr>
            <w:tcW w:w="720" w:type="dxa"/>
            <w:shd w:val="clear" w:color="auto" w:fill="auto"/>
          </w:tcPr>
          <w:p w:rsidR="00500979" w:rsidRPr="00E423DD" w:rsidRDefault="00500979" w:rsidP="00500979">
            <w:pPr>
              <w:rPr>
                <w:lang w:bidi="ar-MA"/>
              </w:rPr>
            </w:pPr>
            <w:r w:rsidRPr="00A465E2">
              <w:rPr>
                <w:sz w:val="20"/>
                <w:szCs w:val="20"/>
              </w:rPr>
              <w:t>7,30</w:t>
            </w:r>
          </w:p>
        </w:tc>
      </w:tr>
    </w:tbl>
    <w:p w:rsidR="00E87BCD" w:rsidRPr="001801B1" w:rsidRDefault="000900D1" w:rsidP="00E87BCD">
      <w:pPr>
        <w:widowControl w:val="0"/>
        <w:tabs>
          <w:tab w:val="left" w:pos="4320"/>
        </w:tabs>
        <w:autoSpaceDE w:val="0"/>
        <w:autoSpaceDN w:val="0"/>
        <w:adjustRightInd w:val="0"/>
        <w:spacing w:before="240" w:after="240"/>
        <w:jc w:val="both"/>
        <w:rPr>
          <w:sz w:val="20"/>
          <w:szCs w:val="20"/>
          <w:lang w:val="en-GB"/>
        </w:rPr>
      </w:pPr>
      <w:r>
        <w:rPr>
          <w:b/>
          <w:bCs/>
          <w:sz w:val="20"/>
          <w:szCs w:val="20"/>
          <w:lang w:val="en-GB"/>
        </w:rPr>
        <w:t>Table 5</w:t>
      </w:r>
      <w:r w:rsidR="00E87BCD" w:rsidRPr="00361E6E">
        <w:rPr>
          <w:b/>
          <w:bCs/>
          <w:sz w:val="20"/>
          <w:szCs w:val="20"/>
          <w:lang w:val="en-GB"/>
        </w:rPr>
        <w:t>.</w:t>
      </w:r>
      <w:r w:rsidR="00E87BCD" w:rsidRPr="00361E6E">
        <w:rPr>
          <w:sz w:val="20"/>
          <w:szCs w:val="20"/>
          <w:lang w:val="en-GB"/>
        </w:rPr>
        <w:t xml:space="preserve"> Average chemical composition of </w:t>
      </w:r>
      <w:r w:rsidR="00E87BCD" w:rsidRPr="00361E6E">
        <w:rPr>
          <w:sz w:val="20"/>
          <w:szCs w:val="20"/>
          <w:lang w:val="en-US"/>
        </w:rPr>
        <w:t xml:space="preserve">different types of the </w:t>
      </w:r>
      <w:r w:rsidR="00E87BCD">
        <w:rPr>
          <w:sz w:val="20"/>
          <w:szCs w:val="20"/>
          <w:lang w:val="en-US"/>
        </w:rPr>
        <w:t>Bouchane</w:t>
      </w:r>
      <w:r w:rsidR="00E87BCD" w:rsidRPr="00361E6E">
        <w:rPr>
          <w:sz w:val="20"/>
          <w:szCs w:val="20"/>
          <w:lang w:val="en-US"/>
        </w:rPr>
        <w:t xml:space="preserve"> phosphates</w:t>
      </w:r>
      <w:r>
        <w:rPr>
          <w:sz w:val="20"/>
          <w:szCs w:val="20"/>
          <w:lang w:val="en-GB"/>
        </w:rPr>
        <w:t xml:space="preserve"> by ICP</w:t>
      </w:r>
    </w:p>
    <w:tbl>
      <w:tblPr>
        <w:tblpPr w:leftFromText="141" w:rightFromText="141" w:vertAnchor="text" w:horzAnchor="margin" w:tblpXSpec="right" w:tblpY="91"/>
        <w:tblW w:w="4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88"/>
        <w:gridCol w:w="1080"/>
        <w:gridCol w:w="1080"/>
        <w:gridCol w:w="1080"/>
      </w:tblGrid>
      <w:tr w:rsidR="001801B1" w:rsidRPr="00E423DD">
        <w:tc>
          <w:tcPr>
            <w:tcW w:w="1188" w:type="dxa"/>
          </w:tcPr>
          <w:p w:rsidR="001801B1" w:rsidRPr="00E423DD" w:rsidRDefault="00055A97" w:rsidP="00EC023D">
            <w:pPr>
              <w:spacing w:line="360" w:lineRule="auto"/>
              <w:jc w:val="center"/>
              <w:rPr>
                <w:color w:val="800000"/>
                <w:sz w:val="20"/>
                <w:szCs w:val="20"/>
              </w:rPr>
            </w:pPr>
            <w:r w:rsidRPr="00E423DD">
              <w:rPr>
                <w:sz w:val="20"/>
                <w:szCs w:val="20"/>
              </w:rPr>
              <w:t>Elements</w:t>
            </w:r>
          </w:p>
        </w:tc>
        <w:tc>
          <w:tcPr>
            <w:tcW w:w="1080" w:type="dxa"/>
          </w:tcPr>
          <w:p w:rsidR="001801B1" w:rsidRPr="00E423DD" w:rsidRDefault="00055A97" w:rsidP="00EC023D">
            <w:pPr>
              <w:spacing w:line="360" w:lineRule="auto"/>
              <w:jc w:val="center"/>
              <w:rPr>
                <w:color w:val="800000"/>
                <w:sz w:val="20"/>
                <w:szCs w:val="20"/>
              </w:rPr>
            </w:pPr>
            <w:r w:rsidRPr="00E423DD">
              <w:rPr>
                <w:color w:val="800000"/>
                <w:sz w:val="20"/>
                <w:szCs w:val="20"/>
              </w:rPr>
              <w:t>A</w:t>
            </w:r>
            <w:r w:rsidR="001801B1" w:rsidRPr="00E423DD">
              <w:rPr>
                <w:color w:val="800000"/>
                <w:sz w:val="20"/>
                <w:szCs w:val="20"/>
              </w:rPr>
              <w:t xml:space="preserve"> (%)</w:t>
            </w:r>
          </w:p>
        </w:tc>
        <w:tc>
          <w:tcPr>
            <w:tcW w:w="1080" w:type="dxa"/>
          </w:tcPr>
          <w:p w:rsidR="001801B1" w:rsidRPr="00E423DD" w:rsidRDefault="00055A97" w:rsidP="00EC023D">
            <w:pPr>
              <w:spacing w:line="360" w:lineRule="auto"/>
              <w:jc w:val="center"/>
              <w:rPr>
                <w:color w:val="800000"/>
                <w:sz w:val="20"/>
                <w:szCs w:val="20"/>
              </w:rPr>
            </w:pPr>
            <w:r w:rsidRPr="00E423DD">
              <w:rPr>
                <w:color w:val="800000"/>
                <w:sz w:val="20"/>
                <w:szCs w:val="20"/>
              </w:rPr>
              <w:t xml:space="preserve">B </w:t>
            </w:r>
            <w:r w:rsidR="001801B1" w:rsidRPr="00E423DD">
              <w:rPr>
                <w:color w:val="800000"/>
                <w:sz w:val="20"/>
                <w:szCs w:val="20"/>
              </w:rPr>
              <w:t>(%)</w:t>
            </w:r>
          </w:p>
        </w:tc>
        <w:tc>
          <w:tcPr>
            <w:tcW w:w="1080" w:type="dxa"/>
          </w:tcPr>
          <w:p w:rsidR="001801B1" w:rsidRPr="00E423DD" w:rsidRDefault="00055A97" w:rsidP="00EC023D">
            <w:pPr>
              <w:spacing w:line="360" w:lineRule="auto"/>
              <w:jc w:val="center"/>
              <w:rPr>
                <w:color w:val="800000"/>
                <w:sz w:val="20"/>
                <w:szCs w:val="20"/>
              </w:rPr>
            </w:pPr>
            <w:r w:rsidRPr="00E423DD">
              <w:rPr>
                <w:color w:val="800000"/>
                <w:sz w:val="20"/>
                <w:szCs w:val="20"/>
              </w:rPr>
              <w:t>D (%)</w:t>
            </w:r>
          </w:p>
        </w:tc>
      </w:tr>
      <w:tr w:rsidR="006A79A2" w:rsidRPr="00E423DD">
        <w:tc>
          <w:tcPr>
            <w:tcW w:w="1188" w:type="dxa"/>
          </w:tcPr>
          <w:p w:rsidR="006A79A2" w:rsidRPr="00E423DD" w:rsidRDefault="006A79A2" w:rsidP="006A79A2">
            <w:pPr>
              <w:jc w:val="center"/>
              <w:rPr>
                <w:sz w:val="20"/>
                <w:szCs w:val="20"/>
                <w:vertAlign w:val="subscript"/>
              </w:rPr>
            </w:pPr>
            <w:r w:rsidRPr="00E423DD">
              <w:rPr>
                <w:sz w:val="20"/>
                <w:szCs w:val="20"/>
              </w:rPr>
              <w:t>P</w:t>
            </w:r>
            <w:r w:rsidRPr="00E423DD">
              <w:rPr>
                <w:sz w:val="20"/>
                <w:szCs w:val="20"/>
                <w:vertAlign w:val="subscript"/>
              </w:rPr>
              <w:t>2</w:t>
            </w:r>
            <w:r w:rsidRPr="00E423DD">
              <w:rPr>
                <w:sz w:val="20"/>
                <w:szCs w:val="20"/>
              </w:rPr>
              <w:t>O</w:t>
            </w:r>
            <w:r w:rsidRPr="00E423DD">
              <w:rPr>
                <w:sz w:val="20"/>
                <w:szCs w:val="20"/>
                <w:vertAlign w:val="subscript"/>
              </w:rPr>
              <w:t>5</w:t>
            </w:r>
          </w:p>
        </w:tc>
        <w:tc>
          <w:tcPr>
            <w:tcW w:w="1080" w:type="dxa"/>
          </w:tcPr>
          <w:p w:rsidR="006A79A2" w:rsidRPr="00E423DD" w:rsidRDefault="006A79A2" w:rsidP="006A79A2">
            <w:pPr>
              <w:jc w:val="center"/>
              <w:rPr>
                <w:color w:val="800000"/>
                <w:sz w:val="20"/>
                <w:szCs w:val="20"/>
              </w:rPr>
            </w:pPr>
            <w:r w:rsidRPr="00E423DD">
              <w:rPr>
                <w:color w:val="800000"/>
                <w:sz w:val="20"/>
                <w:szCs w:val="20"/>
              </w:rPr>
              <w:t>31.10</w:t>
            </w:r>
          </w:p>
        </w:tc>
        <w:tc>
          <w:tcPr>
            <w:tcW w:w="1080" w:type="dxa"/>
          </w:tcPr>
          <w:p w:rsidR="006A79A2" w:rsidRPr="00E423DD" w:rsidRDefault="006A79A2" w:rsidP="006A79A2">
            <w:pPr>
              <w:jc w:val="center"/>
              <w:rPr>
                <w:color w:val="800000"/>
                <w:sz w:val="20"/>
                <w:szCs w:val="20"/>
              </w:rPr>
            </w:pPr>
            <w:r w:rsidRPr="00E423DD">
              <w:rPr>
                <w:color w:val="800000"/>
                <w:sz w:val="20"/>
                <w:szCs w:val="20"/>
              </w:rPr>
              <w:t>33.90</w:t>
            </w:r>
          </w:p>
        </w:tc>
        <w:tc>
          <w:tcPr>
            <w:tcW w:w="1080" w:type="dxa"/>
          </w:tcPr>
          <w:p w:rsidR="006A79A2" w:rsidRPr="00E423DD" w:rsidRDefault="006A79A2" w:rsidP="006A79A2">
            <w:pPr>
              <w:jc w:val="center"/>
              <w:rPr>
                <w:color w:val="800000"/>
                <w:sz w:val="20"/>
                <w:szCs w:val="20"/>
              </w:rPr>
            </w:pPr>
            <w:r w:rsidRPr="00E423DD">
              <w:rPr>
                <w:color w:val="800000"/>
                <w:sz w:val="20"/>
                <w:szCs w:val="20"/>
              </w:rPr>
              <w:t>33.70</w:t>
            </w:r>
          </w:p>
        </w:tc>
      </w:tr>
      <w:tr w:rsidR="006A79A2" w:rsidRPr="00E423DD">
        <w:tc>
          <w:tcPr>
            <w:tcW w:w="1188" w:type="dxa"/>
          </w:tcPr>
          <w:p w:rsidR="006A79A2" w:rsidRPr="00E423DD" w:rsidRDefault="006A79A2" w:rsidP="006A79A2">
            <w:pPr>
              <w:jc w:val="center"/>
              <w:rPr>
                <w:sz w:val="20"/>
                <w:szCs w:val="20"/>
                <w:vertAlign w:val="subscript"/>
              </w:rPr>
            </w:pPr>
            <w:r w:rsidRPr="00E423DD">
              <w:rPr>
                <w:sz w:val="20"/>
                <w:szCs w:val="20"/>
              </w:rPr>
              <w:t>CO</w:t>
            </w:r>
            <w:r w:rsidRPr="00E423DD">
              <w:rPr>
                <w:sz w:val="20"/>
                <w:szCs w:val="20"/>
                <w:vertAlign w:val="subscript"/>
              </w:rPr>
              <w:t>2</w:t>
            </w:r>
          </w:p>
        </w:tc>
        <w:tc>
          <w:tcPr>
            <w:tcW w:w="1080" w:type="dxa"/>
          </w:tcPr>
          <w:p w:rsidR="006A79A2" w:rsidRPr="00E423DD" w:rsidRDefault="006A79A2" w:rsidP="006A79A2">
            <w:pPr>
              <w:jc w:val="center"/>
              <w:rPr>
                <w:color w:val="800000"/>
                <w:sz w:val="20"/>
                <w:szCs w:val="20"/>
              </w:rPr>
            </w:pPr>
            <w:r w:rsidRPr="00E423DD">
              <w:rPr>
                <w:color w:val="800000"/>
                <w:sz w:val="20"/>
                <w:szCs w:val="20"/>
              </w:rPr>
              <w:t>6.5</w:t>
            </w:r>
          </w:p>
        </w:tc>
        <w:tc>
          <w:tcPr>
            <w:tcW w:w="1080" w:type="dxa"/>
          </w:tcPr>
          <w:p w:rsidR="006A79A2" w:rsidRPr="00E423DD" w:rsidRDefault="006A79A2" w:rsidP="006A79A2">
            <w:pPr>
              <w:jc w:val="center"/>
              <w:rPr>
                <w:color w:val="800000"/>
                <w:sz w:val="20"/>
                <w:szCs w:val="20"/>
              </w:rPr>
            </w:pPr>
            <w:r w:rsidRPr="00E423DD">
              <w:rPr>
                <w:color w:val="800000"/>
                <w:sz w:val="20"/>
                <w:szCs w:val="20"/>
              </w:rPr>
              <w:t>2.7</w:t>
            </w:r>
          </w:p>
        </w:tc>
        <w:tc>
          <w:tcPr>
            <w:tcW w:w="1080" w:type="dxa"/>
          </w:tcPr>
          <w:p w:rsidR="006A79A2" w:rsidRPr="00E423DD" w:rsidRDefault="006A79A2" w:rsidP="006A79A2">
            <w:pPr>
              <w:jc w:val="center"/>
              <w:rPr>
                <w:color w:val="800000"/>
                <w:sz w:val="20"/>
                <w:szCs w:val="20"/>
              </w:rPr>
            </w:pPr>
            <w:r w:rsidRPr="00E423DD">
              <w:rPr>
                <w:color w:val="800000"/>
                <w:sz w:val="20"/>
                <w:szCs w:val="20"/>
              </w:rPr>
              <w:t>2.96</w:t>
            </w:r>
          </w:p>
        </w:tc>
      </w:tr>
      <w:tr w:rsidR="006A79A2" w:rsidRPr="00E423DD">
        <w:tc>
          <w:tcPr>
            <w:tcW w:w="1188" w:type="dxa"/>
          </w:tcPr>
          <w:p w:rsidR="006A79A2" w:rsidRPr="00E423DD" w:rsidRDefault="006A79A2" w:rsidP="006A79A2">
            <w:pPr>
              <w:jc w:val="center"/>
              <w:rPr>
                <w:sz w:val="20"/>
                <w:szCs w:val="20"/>
              </w:rPr>
            </w:pPr>
            <w:r w:rsidRPr="00E423DD">
              <w:rPr>
                <w:sz w:val="20"/>
                <w:szCs w:val="20"/>
              </w:rPr>
              <w:t>CaO</w:t>
            </w:r>
          </w:p>
        </w:tc>
        <w:tc>
          <w:tcPr>
            <w:tcW w:w="1080" w:type="dxa"/>
          </w:tcPr>
          <w:p w:rsidR="006A79A2" w:rsidRPr="00E423DD" w:rsidRDefault="006A79A2" w:rsidP="006A79A2">
            <w:pPr>
              <w:jc w:val="center"/>
              <w:rPr>
                <w:color w:val="800000"/>
                <w:sz w:val="20"/>
                <w:szCs w:val="20"/>
              </w:rPr>
            </w:pPr>
            <w:r w:rsidRPr="00E423DD">
              <w:rPr>
                <w:color w:val="800000"/>
                <w:sz w:val="20"/>
                <w:szCs w:val="20"/>
              </w:rPr>
              <w:t>49.1</w:t>
            </w:r>
          </w:p>
        </w:tc>
        <w:tc>
          <w:tcPr>
            <w:tcW w:w="1080" w:type="dxa"/>
          </w:tcPr>
          <w:p w:rsidR="006A79A2" w:rsidRPr="00E423DD" w:rsidRDefault="006A79A2" w:rsidP="006A79A2">
            <w:pPr>
              <w:jc w:val="center"/>
              <w:rPr>
                <w:color w:val="800000"/>
                <w:sz w:val="20"/>
                <w:szCs w:val="20"/>
              </w:rPr>
            </w:pPr>
            <w:r w:rsidRPr="00E423DD">
              <w:rPr>
                <w:color w:val="800000"/>
                <w:sz w:val="20"/>
                <w:szCs w:val="20"/>
              </w:rPr>
              <w:t>54.3</w:t>
            </w:r>
          </w:p>
        </w:tc>
        <w:tc>
          <w:tcPr>
            <w:tcW w:w="1080" w:type="dxa"/>
          </w:tcPr>
          <w:p w:rsidR="006A79A2" w:rsidRPr="00E423DD" w:rsidRDefault="006A79A2" w:rsidP="006A79A2">
            <w:pPr>
              <w:jc w:val="center"/>
              <w:rPr>
                <w:color w:val="800000"/>
                <w:sz w:val="20"/>
                <w:szCs w:val="20"/>
              </w:rPr>
            </w:pPr>
            <w:r w:rsidRPr="00E423DD">
              <w:rPr>
                <w:color w:val="800000"/>
                <w:sz w:val="20"/>
                <w:szCs w:val="20"/>
              </w:rPr>
              <w:t>53.42</w:t>
            </w:r>
          </w:p>
        </w:tc>
      </w:tr>
      <w:tr w:rsidR="006A79A2" w:rsidRPr="00E423DD">
        <w:tc>
          <w:tcPr>
            <w:tcW w:w="1188" w:type="dxa"/>
          </w:tcPr>
          <w:p w:rsidR="006A79A2" w:rsidRPr="00E423DD" w:rsidRDefault="006A79A2" w:rsidP="006A79A2">
            <w:pPr>
              <w:jc w:val="center"/>
              <w:rPr>
                <w:sz w:val="20"/>
                <w:szCs w:val="20"/>
                <w:vertAlign w:val="subscript"/>
              </w:rPr>
            </w:pPr>
            <w:r w:rsidRPr="00E423DD">
              <w:rPr>
                <w:sz w:val="20"/>
                <w:szCs w:val="20"/>
              </w:rPr>
              <w:t>SiO</w:t>
            </w:r>
            <w:r w:rsidRPr="00E423DD">
              <w:rPr>
                <w:sz w:val="20"/>
                <w:szCs w:val="20"/>
                <w:vertAlign w:val="subscript"/>
              </w:rPr>
              <w:t>2</w:t>
            </w:r>
          </w:p>
        </w:tc>
        <w:tc>
          <w:tcPr>
            <w:tcW w:w="1080" w:type="dxa"/>
          </w:tcPr>
          <w:p w:rsidR="006A79A2" w:rsidRPr="00E423DD" w:rsidRDefault="006A79A2" w:rsidP="006A79A2">
            <w:pPr>
              <w:jc w:val="center"/>
              <w:rPr>
                <w:color w:val="800000"/>
                <w:sz w:val="20"/>
                <w:szCs w:val="20"/>
              </w:rPr>
            </w:pPr>
            <w:r w:rsidRPr="00E423DD">
              <w:rPr>
                <w:color w:val="800000"/>
                <w:sz w:val="20"/>
                <w:szCs w:val="20"/>
              </w:rPr>
              <w:t>3.5</w:t>
            </w:r>
          </w:p>
        </w:tc>
        <w:tc>
          <w:tcPr>
            <w:tcW w:w="1080" w:type="dxa"/>
          </w:tcPr>
          <w:p w:rsidR="006A79A2" w:rsidRPr="00E423DD" w:rsidRDefault="006A79A2" w:rsidP="006A79A2">
            <w:pPr>
              <w:jc w:val="center"/>
              <w:rPr>
                <w:color w:val="800000"/>
                <w:sz w:val="20"/>
                <w:szCs w:val="20"/>
              </w:rPr>
            </w:pPr>
            <w:r w:rsidRPr="00E423DD">
              <w:rPr>
                <w:color w:val="800000"/>
                <w:sz w:val="20"/>
                <w:szCs w:val="20"/>
              </w:rPr>
              <w:t>3.3</w:t>
            </w:r>
          </w:p>
        </w:tc>
        <w:tc>
          <w:tcPr>
            <w:tcW w:w="1080" w:type="dxa"/>
          </w:tcPr>
          <w:p w:rsidR="006A79A2" w:rsidRPr="00E423DD" w:rsidRDefault="006A79A2" w:rsidP="006A79A2">
            <w:pPr>
              <w:jc w:val="center"/>
              <w:rPr>
                <w:color w:val="800000"/>
                <w:sz w:val="20"/>
                <w:szCs w:val="20"/>
              </w:rPr>
            </w:pPr>
            <w:r w:rsidRPr="00E423DD">
              <w:rPr>
                <w:color w:val="800000"/>
                <w:sz w:val="20"/>
                <w:szCs w:val="20"/>
              </w:rPr>
              <w:t>3.4</w:t>
            </w:r>
          </w:p>
        </w:tc>
      </w:tr>
      <w:tr w:rsidR="006A79A2" w:rsidRPr="00E423DD">
        <w:tc>
          <w:tcPr>
            <w:tcW w:w="1188" w:type="dxa"/>
          </w:tcPr>
          <w:p w:rsidR="006A79A2" w:rsidRPr="00E423DD" w:rsidRDefault="006A79A2" w:rsidP="006A79A2">
            <w:pPr>
              <w:jc w:val="center"/>
              <w:rPr>
                <w:sz w:val="20"/>
                <w:szCs w:val="20"/>
              </w:rPr>
            </w:pPr>
            <w:r w:rsidRPr="00E423DD">
              <w:rPr>
                <w:sz w:val="20"/>
                <w:szCs w:val="20"/>
              </w:rPr>
              <w:t>H</w:t>
            </w:r>
            <w:r w:rsidRPr="00E423DD">
              <w:rPr>
                <w:sz w:val="20"/>
                <w:szCs w:val="20"/>
                <w:vertAlign w:val="subscript"/>
              </w:rPr>
              <w:t>2</w:t>
            </w:r>
            <w:r w:rsidRPr="00E423DD">
              <w:rPr>
                <w:sz w:val="20"/>
                <w:szCs w:val="20"/>
              </w:rPr>
              <w:t>O</w:t>
            </w:r>
          </w:p>
        </w:tc>
        <w:tc>
          <w:tcPr>
            <w:tcW w:w="1080" w:type="dxa"/>
          </w:tcPr>
          <w:p w:rsidR="006A79A2" w:rsidRPr="00E423DD" w:rsidRDefault="006A79A2" w:rsidP="006A79A2">
            <w:pPr>
              <w:jc w:val="center"/>
              <w:rPr>
                <w:color w:val="800000"/>
                <w:sz w:val="20"/>
                <w:szCs w:val="20"/>
              </w:rPr>
            </w:pPr>
            <w:r w:rsidRPr="00E423DD">
              <w:rPr>
                <w:color w:val="800000"/>
                <w:sz w:val="20"/>
                <w:szCs w:val="20"/>
              </w:rPr>
              <w:t>1.38</w:t>
            </w:r>
          </w:p>
        </w:tc>
        <w:tc>
          <w:tcPr>
            <w:tcW w:w="1080" w:type="dxa"/>
          </w:tcPr>
          <w:p w:rsidR="006A79A2" w:rsidRPr="00E423DD" w:rsidRDefault="006A79A2" w:rsidP="006A79A2">
            <w:pPr>
              <w:jc w:val="center"/>
              <w:rPr>
                <w:color w:val="800000"/>
                <w:sz w:val="20"/>
                <w:szCs w:val="20"/>
              </w:rPr>
            </w:pPr>
            <w:r w:rsidRPr="00E423DD">
              <w:rPr>
                <w:color w:val="800000"/>
                <w:sz w:val="20"/>
                <w:szCs w:val="20"/>
              </w:rPr>
              <w:t>1.3</w:t>
            </w:r>
          </w:p>
        </w:tc>
        <w:tc>
          <w:tcPr>
            <w:tcW w:w="1080" w:type="dxa"/>
          </w:tcPr>
          <w:p w:rsidR="006A79A2" w:rsidRPr="00E423DD" w:rsidRDefault="006A79A2" w:rsidP="006A79A2">
            <w:pPr>
              <w:jc w:val="center"/>
              <w:rPr>
                <w:color w:val="800000"/>
                <w:sz w:val="20"/>
                <w:szCs w:val="20"/>
              </w:rPr>
            </w:pPr>
            <w:r w:rsidRPr="00E423DD">
              <w:rPr>
                <w:color w:val="800000"/>
                <w:sz w:val="20"/>
                <w:szCs w:val="20"/>
              </w:rPr>
              <w:t>1.34</w:t>
            </w:r>
          </w:p>
        </w:tc>
      </w:tr>
      <w:tr w:rsidR="006A79A2" w:rsidRPr="00E423DD">
        <w:tc>
          <w:tcPr>
            <w:tcW w:w="1188" w:type="dxa"/>
          </w:tcPr>
          <w:p w:rsidR="006A79A2" w:rsidRPr="00E423DD" w:rsidRDefault="006A79A2" w:rsidP="006A79A2">
            <w:pPr>
              <w:jc w:val="center"/>
              <w:rPr>
                <w:sz w:val="20"/>
                <w:szCs w:val="20"/>
                <w:lang w:val="en-GB"/>
              </w:rPr>
            </w:pPr>
            <w:r w:rsidRPr="00E423DD">
              <w:rPr>
                <w:sz w:val="20"/>
                <w:szCs w:val="20"/>
                <w:lang w:val="en-GB"/>
              </w:rPr>
              <w:t>Al</w:t>
            </w:r>
            <w:r w:rsidRPr="00E423DD">
              <w:rPr>
                <w:sz w:val="20"/>
                <w:szCs w:val="20"/>
                <w:vertAlign w:val="subscript"/>
                <w:lang w:val="en-GB"/>
              </w:rPr>
              <w:t>2</w:t>
            </w:r>
            <w:r w:rsidRPr="00E423DD">
              <w:rPr>
                <w:sz w:val="20"/>
                <w:szCs w:val="20"/>
                <w:lang w:val="en-GB"/>
              </w:rPr>
              <w:t>O</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5.15</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1.6</w:t>
            </w:r>
          </w:p>
        </w:tc>
        <w:tc>
          <w:tcPr>
            <w:tcW w:w="1080" w:type="dxa"/>
          </w:tcPr>
          <w:p w:rsidR="006A79A2" w:rsidRPr="00E423DD" w:rsidRDefault="006A79A2" w:rsidP="006A79A2">
            <w:pPr>
              <w:jc w:val="center"/>
              <w:rPr>
                <w:color w:val="800000"/>
                <w:sz w:val="20"/>
                <w:szCs w:val="20"/>
              </w:rPr>
            </w:pPr>
            <w:r w:rsidRPr="00E423DD">
              <w:rPr>
                <w:color w:val="800000"/>
                <w:sz w:val="20"/>
                <w:szCs w:val="20"/>
              </w:rPr>
              <w:t>2.1</w:t>
            </w:r>
          </w:p>
        </w:tc>
      </w:tr>
      <w:tr w:rsidR="006A79A2" w:rsidRPr="00E423DD">
        <w:tc>
          <w:tcPr>
            <w:tcW w:w="1188" w:type="dxa"/>
          </w:tcPr>
          <w:p w:rsidR="006A79A2" w:rsidRPr="00E423DD" w:rsidRDefault="006A79A2" w:rsidP="006A79A2">
            <w:pPr>
              <w:jc w:val="center"/>
              <w:rPr>
                <w:sz w:val="20"/>
                <w:szCs w:val="20"/>
                <w:vertAlign w:val="subscript"/>
                <w:lang w:val="en-GB"/>
              </w:rPr>
            </w:pPr>
            <w:r w:rsidRPr="00E423DD">
              <w:rPr>
                <w:sz w:val="20"/>
                <w:szCs w:val="20"/>
                <w:lang w:val="en-GB"/>
              </w:rPr>
              <w:t>Si</w:t>
            </w:r>
            <w:r w:rsidRPr="00E423DD">
              <w:rPr>
                <w:sz w:val="20"/>
                <w:szCs w:val="20"/>
                <w:vertAlign w:val="subscript"/>
                <w:lang w:val="en-GB"/>
              </w:rPr>
              <w:t>2</w:t>
            </w:r>
            <w:r w:rsidRPr="00E423DD">
              <w:rPr>
                <w:sz w:val="20"/>
                <w:szCs w:val="20"/>
                <w:lang w:val="en-GB"/>
              </w:rPr>
              <w:t>O</w:t>
            </w:r>
            <w:r w:rsidRPr="00E423DD">
              <w:rPr>
                <w:sz w:val="20"/>
                <w:szCs w:val="20"/>
                <w:vertAlign w:val="subscript"/>
                <w:lang w:val="en-GB"/>
              </w:rPr>
              <w:t>3</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0.42</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0.31</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0.36</w:t>
            </w:r>
          </w:p>
        </w:tc>
      </w:tr>
      <w:tr w:rsidR="006A79A2" w:rsidRPr="00E423DD">
        <w:tc>
          <w:tcPr>
            <w:tcW w:w="1188" w:type="dxa"/>
          </w:tcPr>
          <w:p w:rsidR="006A79A2" w:rsidRPr="00E423DD" w:rsidRDefault="006A79A2" w:rsidP="006A79A2">
            <w:pPr>
              <w:jc w:val="center"/>
              <w:rPr>
                <w:sz w:val="20"/>
                <w:szCs w:val="20"/>
                <w:lang w:val="en-GB"/>
              </w:rPr>
            </w:pPr>
            <w:r w:rsidRPr="00E423DD">
              <w:rPr>
                <w:sz w:val="20"/>
                <w:szCs w:val="20"/>
                <w:lang w:val="en-GB"/>
              </w:rPr>
              <w:t>K</w:t>
            </w:r>
            <w:r w:rsidRPr="00E423DD">
              <w:rPr>
                <w:sz w:val="20"/>
                <w:szCs w:val="20"/>
                <w:vertAlign w:val="subscript"/>
                <w:lang w:val="en-GB"/>
              </w:rPr>
              <w:t>2</w:t>
            </w:r>
            <w:r w:rsidRPr="00E423DD">
              <w:rPr>
                <w:sz w:val="20"/>
                <w:szCs w:val="20"/>
                <w:lang w:val="en-GB"/>
              </w:rPr>
              <w:t>O</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0.07</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0.08</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0.08</w:t>
            </w:r>
          </w:p>
        </w:tc>
      </w:tr>
      <w:tr w:rsidR="006A79A2" w:rsidRPr="00E423DD">
        <w:tc>
          <w:tcPr>
            <w:tcW w:w="1188" w:type="dxa"/>
          </w:tcPr>
          <w:p w:rsidR="006A79A2" w:rsidRPr="00E423DD" w:rsidRDefault="006A79A2" w:rsidP="006A79A2">
            <w:pPr>
              <w:jc w:val="center"/>
              <w:rPr>
                <w:sz w:val="20"/>
                <w:szCs w:val="20"/>
                <w:lang w:val="en-GB"/>
              </w:rPr>
            </w:pPr>
            <w:r w:rsidRPr="00E423DD">
              <w:rPr>
                <w:sz w:val="20"/>
                <w:szCs w:val="20"/>
                <w:lang w:val="en-GB"/>
              </w:rPr>
              <w:t>MgO</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0.65</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0.7</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0.68</w:t>
            </w:r>
          </w:p>
        </w:tc>
      </w:tr>
      <w:tr w:rsidR="006A79A2" w:rsidRPr="00E423DD">
        <w:tc>
          <w:tcPr>
            <w:tcW w:w="1188" w:type="dxa"/>
          </w:tcPr>
          <w:p w:rsidR="006A79A2" w:rsidRPr="00E423DD" w:rsidRDefault="006A79A2" w:rsidP="006A79A2">
            <w:pPr>
              <w:jc w:val="center"/>
              <w:rPr>
                <w:sz w:val="20"/>
                <w:szCs w:val="20"/>
                <w:vertAlign w:val="subscript"/>
                <w:lang w:val="en-GB"/>
              </w:rPr>
            </w:pPr>
            <w:r w:rsidRPr="00E423DD">
              <w:rPr>
                <w:sz w:val="20"/>
                <w:szCs w:val="20"/>
                <w:lang w:val="en-GB"/>
              </w:rPr>
              <w:t>MiO</w:t>
            </w:r>
            <w:r w:rsidRPr="00E423DD">
              <w:rPr>
                <w:sz w:val="20"/>
                <w:szCs w:val="20"/>
                <w:vertAlign w:val="subscript"/>
                <w:lang w:val="en-GB"/>
              </w:rPr>
              <w:t>2</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0.60</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0.5</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0.56</w:t>
            </w:r>
          </w:p>
        </w:tc>
      </w:tr>
      <w:tr w:rsidR="006A79A2" w:rsidRPr="00E423DD">
        <w:tc>
          <w:tcPr>
            <w:tcW w:w="1188" w:type="dxa"/>
          </w:tcPr>
          <w:p w:rsidR="006A79A2" w:rsidRPr="00E423DD" w:rsidRDefault="006A79A2" w:rsidP="006A79A2">
            <w:pPr>
              <w:jc w:val="center"/>
              <w:rPr>
                <w:sz w:val="20"/>
                <w:szCs w:val="20"/>
                <w:vertAlign w:val="subscript"/>
                <w:lang w:val="en-GB"/>
              </w:rPr>
            </w:pPr>
            <w:r w:rsidRPr="00E423DD">
              <w:rPr>
                <w:sz w:val="20"/>
                <w:szCs w:val="20"/>
                <w:lang w:val="en-GB"/>
              </w:rPr>
              <w:t>SO</w:t>
            </w:r>
            <w:r w:rsidRPr="00E423DD">
              <w:rPr>
                <w:sz w:val="20"/>
                <w:szCs w:val="20"/>
                <w:vertAlign w:val="subscript"/>
                <w:lang w:val="en-GB"/>
              </w:rPr>
              <w:t>3</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1.52</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1.30</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1.39</w:t>
            </w:r>
          </w:p>
        </w:tc>
      </w:tr>
      <w:tr w:rsidR="006A79A2" w:rsidRPr="00E423DD">
        <w:tc>
          <w:tcPr>
            <w:tcW w:w="1188" w:type="dxa"/>
          </w:tcPr>
          <w:p w:rsidR="006A79A2" w:rsidRPr="00E423DD" w:rsidRDefault="006A79A2" w:rsidP="006A79A2">
            <w:pPr>
              <w:jc w:val="center"/>
              <w:rPr>
                <w:sz w:val="20"/>
                <w:szCs w:val="20"/>
                <w:lang w:val="en-GB"/>
              </w:rPr>
            </w:pPr>
            <w:r w:rsidRPr="00E423DD">
              <w:rPr>
                <w:sz w:val="20"/>
                <w:szCs w:val="20"/>
                <w:lang w:val="en-GB"/>
              </w:rPr>
              <w:t>Cd</w:t>
            </w:r>
          </w:p>
        </w:tc>
        <w:tc>
          <w:tcPr>
            <w:tcW w:w="1080" w:type="dxa"/>
          </w:tcPr>
          <w:p w:rsidR="006A79A2" w:rsidRPr="00E423DD" w:rsidRDefault="006A79A2" w:rsidP="006A79A2">
            <w:pPr>
              <w:jc w:val="center"/>
              <w:rPr>
                <w:color w:val="800000"/>
                <w:sz w:val="20"/>
                <w:szCs w:val="20"/>
                <w:lang w:val="en-GB"/>
              </w:rPr>
            </w:pPr>
            <w:r w:rsidRPr="00E423DD">
              <w:rPr>
                <w:color w:val="800000"/>
                <w:sz w:val="20"/>
                <w:szCs w:val="20"/>
                <w:lang w:val="en-GB"/>
              </w:rPr>
              <w:t>16.21 ppm</w:t>
            </w:r>
          </w:p>
        </w:tc>
        <w:tc>
          <w:tcPr>
            <w:tcW w:w="1080" w:type="dxa"/>
          </w:tcPr>
          <w:p w:rsidR="006A79A2" w:rsidRPr="00E423DD" w:rsidRDefault="006A79A2" w:rsidP="006A79A2">
            <w:pPr>
              <w:jc w:val="center"/>
              <w:rPr>
                <w:color w:val="800000"/>
                <w:sz w:val="20"/>
                <w:szCs w:val="20"/>
              </w:rPr>
            </w:pPr>
            <w:r w:rsidRPr="00E423DD">
              <w:rPr>
                <w:color w:val="800000"/>
                <w:sz w:val="20"/>
                <w:szCs w:val="20"/>
              </w:rPr>
              <w:t>16.60 ppm</w:t>
            </w:r>
          </w:p>
        </w:tc>
        <w:tc>
          <w:tcPr>
            <w:tcW w:w="1080" w:type="dxa"/>
          </w:tcPr>
          <w:p w:rsidR="006A79A2" w:rsidRPr="00E423DD" w:rsidRDefault="006A79A2" w:rsidP="006A79A2">
            <w:pPr>
              <w:jc w:val="center"/>
              <w:rPr>
                <w:color w:val="800000"/>
                <w:sz w:val="20"/>
                <w:szCs w:val="20"/>
              </w:rPr>
            </w:pPr>
            <w:r w:rsidRPr="00E423DD">
              <w:rPr>
                <w:color w:val="800000"/>
                <w:sz w:val="20"/>
                <w:szCs w:val="20"/>
              </w:rPr>
              <w:t>17.0 ppm</w:t>
            </w:r>
          </w:p>
        </w:tc>
      </w:tr>
    </w:tbl>
    <w:p w:rsidR="00C50F31" w:rsidRPr="00361E6E" w:rsidRDefault="000900D1" w:rsidP="00C50F31">
      <w:pPr>
        <w:widowControl w:val="0"/>
        <w:tabs>
          <w:tab w:val="left" w:pos="4320"/>
        </w:tabs>
        <w:autoSpaceDE w:val="0"/>
        <w:autoSpaceDN w:val="0"/>
        <w:adjustRightInd w:val="0"/>
        <w:spacing w:before="240" w:after="240"/>
        <w:jc w:val="both"/>
        <w:rPr>
          <w:lang w:val="en-GB"/>
        </w:rPr>
      </w:pPr>
      <w:r>
        <w:rPr>
          <w:b/>
          <w:bCs/>
          <w:sz w:val="20"/>
          <w:szCs w:val="20"/>
          <w:lang w:val="en-GB"/>
        </w:rPr>
        <w:t>Table 6</w:t>
      </w:r>
      <w:r w:rsidR="00C50F31" w:rsidRPr="00361E6E">
        <w:rPr>
          <w:b/>
          <w:bCs/>
          <w:sz w:val="20"/>
          <w:szCs w:val="20"/>
          <w:lang w:val="en-GB"/>
        </w:rPr>
        <w:t>.</w:t>
      </w:r>
      <w:r w:rsidR="00C50F31" w:rsidRPr="00361E6E">
        <w:rPr>
          <w:sz w:val="20"/>
          <w:szCs w:val="20"/>
          <w:lang w:val="en-GB"/>
        </w:rPr>
        <w:t xml:space="preserve"> Granulometric distribution (refusal (%))</w:t>
      </w:r>
      <w:r w:rsidR="00C50F31">
        <w:rPr>
          <w:sz w:val="20"/>
          <w:szCs w:val="20"/>
          <w:lang w:val="en-GB"/>
        </w:rPr>
        <w:t xml:space="preserve"> </w:t>
      </w:r>
      <w:r w:rsidR="00C50F31" w:rsidRPr="00361E6E">
        <w:rPr>
          <w:sz w:val="20"/>
          <w:szCs w:val="20"/>
          <w:lang w:val="en-US"/>
        </w:rPr>
        <w:t xml:space="preserve">different types of the </w:t>
      </w:r>
      <w:r w:rsidR="00C50F31">
        <w:rPr>
          <w:sz w:val="20"/>
          <w:szCs w:val="20"/>
          <w:lang w:val="en-GB"/>
        </w:rPr>
        <w:t>Bouchane</w:t>
      </w:r>
      <w:r w:rsidR="00C50F31" w:rsidRPr="00361E6E">
        <w:rPr>
          <w:sz w:val="20"/>
          <w:szCs w:val="20"/>
          <w:lang w:val="en-GB"/>
        </w:rPr>
        <w:t xml:space="preserve"> phosphate.</w:t>
      </w:r>
    </w:p>
    <w:tbl>
      <w:tblPr>
        <w:tblpPr w:leftFromText="141" w:rightFromText="141" w:vertAnchor="text" w:horzAnchor="margin" w:tblpY="22"/>
        <w:tblW w:w="38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720"/>
        <w:gridCol w:w="720"/>
        <w:gridCol w:w="720"/>
      </w:tblGrid>
      <w:tr w:rsidR="00FB1E76" w:rsidRPr="00A465E2" w:rsidTr="00A465E2">
        <w:tc>
          <w:tcPr>
            <w:tcW w:w="1008"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 xml:space="preserve">Net </w:t>
            </w:r>
            <w:r w:rsidRPr="00A465E2">
              <w:rPr>
                <w:sz w:val="20"/>
                <w:szCs w:val="20"/>
                <w:lang w:val="en-US"/>
              </w:rPr>
              <w:t>(</w:t>
            </w:r>
            <w:r w:rsidRPr="00A465E2">
              <w:rPr>
                <w:sz w:val="20"/>
                <w:szCs w:val="20"/>
              </w:rPr>
              <w:t>μ</w:t>
            </w:r>
            <w:r w:rsidRPr="00A465E2">
              <w:rPr>
                <w:sz w:val="20"/>
                <w:szCs w:val="20"/>
                <w:lang w:val="en-US"/>
              </w:rPr>
              <w:t>m)</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A</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B</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C</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D</w:t>
            </w:r>
          </w:p>
        </w:tc>
      </w:tr>
      <w:tr w:rsidR="00FB1E76" w:rsidRPr="00A465E2" w:rsidTr="00A465E2">
        <w:tc>
          <w:tcPr>
            <w:tcW w:w="1008"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500</w:t>
            </w:r>
            <w:r w:rsidRPr="00A465E2">
              <w:rPr>
                <w:sz w:val="20"/>
                <w:szCs w:val="20"/>
              </w:rPr>
              <w:t>&lt;</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GB"/>
              </w:rPr>
              <w:t>0</w:t>
            </w:r>
          </w:p>
        </w:tc>
      </w:tr>
      <w:tr w:rsidR="00FB1E76" w:rsidRPr="00A465E2" w:rsidTr="00A465E2">
        <w:tc>
          <w:tcPr>
            <w:tcW w:w="1008" w:type="dxa"/>
            <w:shd w:val="clear" w:color="auto" w:fill="auto"/>
          </w:tcPr>
          <w:p w:rsidR="00FB1E76" w:rsidRPr="00A465E2" w:rsidRDefault="00FB1E76" w:rsidP="00A465E2">
            <w:pPr>
              <w:tabs>
                <w:tab w:val="left" w:pos="4140"/>
              </w:tabs>
              <w:rPr>
                <w:sz w:val="20"/>
                <w:szCs w:val="20"/>
                <w:lang w:val="en-GB"/>
              </w:rPr>
            </w:pPr>
            <w:r w:rsidRPr="00A465E2">
              <w:rPr>
                <w:sz w:val="20"/>
                <w:szCs w:val="20"/>
                <w:lang w:val="en-US"/>
              </w:rPr>
              <w:t>350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37</w:t>
            </w:r>
            <w:r w:rsidR="00055A97" w:rsidRPr="00A465E2">
              <w:rPr>
                <w:sz w:val="20"/>
                <w:szCs w:val="20"/>
                <w:lang w:val="en-US"/>
              </w:rPr>
              <w:t>.</w:t>
            </w:r>
            <w:r w:rsidRPr="00A465E2">
              <w:rPr>
                <w:sz w:val="20"/>
                <w:szCs w:val="20"/>
                <w:lang w:val="en-US"/>
              </w:rPr>
              <w:t>66</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31</w:t>
            </w:r>
            <w:r w:rsidR="00055A97" w:rsidRPr="00A465E2">
              <w:rPr>
                <w:sz w:val="20"/>
                <w:szCs w:val="20"/>
                <w:lang w:val="en-US"/>
              </w:rPr>
              <w:t>.</w:t>
            </w:r>
            <w:r w:rsidRPr="00A465E2">
              <w:rPr>
                <w:sz w:val="20"/>
                <w:szCs w:val="20"/>
                <w:lang w:val="en-US"/>
              </w:rPr>
              <w:t>27</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rPr>
              <w:t>33.66</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rPr>
              <w:t>33</w:t>
            </w:r>
            <w:r w:rsidR="00055A97" w:rsidRPr="00A465E2">
              <w:rPr>
                <w:sz w:val="20"/>
                <w:szCs w:val="20"/>
              </w:rPr>
              <w:t>.</w:t>
            </w:r>
            <w:r w:rsidRPr="00A465E2">
              <w:rPr>
                <w:sz w:val="20"/>
                <w:szCs w:val="20"/>
              </w:rPr>
              <w:t>15</w:t>
            </w:r>
          </w:p>
        </w:tc>
      </w:tr>
      <w:tr w:rsidR="00FB1E76" w:rsidRPr="00A465E2" w:rsidTr="00A465E2">
        <w:tc>
          <w:tcPr>
            <w:tcW w:w="1008"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250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24</w:t>
            </w:r>
            <w:r w:rsidR="00055A97" w:rsidRPr="00A465E2">
              <w:rPr>
                <w:sz w:val="20"/>
                <w:szCs w:val="20"/>
                <w:lang w:val="en-US"/>
              </w:rPr>
              <w:t>.</w:t>
            </w:r>
            <w:r w:rsidRPr="00A465E2">
              <w:rPr>
                <w:sz w:val="20"/>
                <w:szCs w:val="20"/>
                <w:lang w:val="en-US"/>
              </w:rPr>
              <w:t>75</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26</w:t>
            </w:r>
            <w:r w:rsidR="00055A97" w:rsidRPr="00A465E2">
              <w:rPr>
                <w:sz w:val="20"/>
                <w:szCs w:val="20"/>
                <w:lang w:val="en-US"/>
              </w:rPr>
              <w:t>.</w:t>
            </w:r>
            <w:r w:rsidRPr="00A465E2">
              <w:rPr>
                <w:sz w:val="20"/>
                <w:szCs w:val="20"/>
                <w:lang w:val="en-US"/>
              </w:rPr>
              <w:t>21</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rPr>
              <w:t>28.34</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rPr>
              <w:t>27</w:t>
            </w:r>
            <w:r w:rsidR="00055A97" w:rsidRPr="00A465E2">
              <w:rPr>
                <w:sz w:val="20"/>
                <w:szCs w:val="20"/>
              </w:rPr>
              <w:t>.</w:t>
            </w:r>
            <w:r w:rsidRPr="00A465E2">
              <w:rPr>
                <w:sz w:val="20"/>
                <w:szCs w:val="20"/>
              </w:rPr>
              <w:t>41</w:t>
            </w:r>
          </w:p>
        </w:tc>
      </w:tr>
      <w:tr w:rsidR="00FB1E76" w:rsidRPr="00A465E2" w:rsidTr="00A465E2">
        <w:tc>
          <w:tcPr>
            <w:tcW w:w="1008"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200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15</w:t>
            </w:r>
            <w:r w:rsidR="00055A97" w:rsidRPr="00A465E2">
              <w:rPr>
                <w:sz w:val="20"/>
                <w:szCs w:val="20"/>
                <w:lang w:val="en-US"/>
              </w:rPr>
              <w:t>.</w:t>
            </w:r>
            <w:r w:rsidRPr="00A465E2">
              <w:rPr>
                <w:sz w:val="20"/>
                <w:szCs w:val="20"/>
                <w:lang w:val="en-US"/>
              </w:rPr>
              <w:t>85</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20</w:t>
            </w:r>
            <w:r w:rsidR="00055A97" w:rsidRPr="00A465E2">
              <w:rPr>
                <w:sz w:val="20"/>
                <w:szCs w:val="20"/>
                <w:lang w:val="en-US"/>
              </w:rPr>
              <w:t>.</w:t>
            </w:r>
            <w:r w:rsidRPr="00A465E2">
              <w:rPr>
                <w:sz w:val="20"/>
                <w:szCs w:val="20"/>
                <w:lang w:val="en-US"/>
              </w:rPr>
              <w:t>20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rPr>
              <w:t>19.38</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rPr>
              <w:t>20</w:t>
            </w:r>
            <w:r w:rsidR="00055A97" w:rsidRPr="00A465E2">
              <w:rPr>
                <w:sz w:val="20"/>
                <w:szCs w:val="20"/>
              </w:rPr>
              <w:t>.</w:t>
            </w:r>
            <w:r w:rsidRPr="00A465E2">
              <w:rPr>
                <w:sz w:val="20"/>
                <w:szCs w:val="20"/>
              </w:rPr>
              <w:t>32</w:t>
            </w:r>
          </w:p>
        </w:tc>
      </w:tr>
      <w:tr w:rsidR="00FB1E76" w:rsidRPr="00A465E2" w:rsidTr="00A465E2">
        <w:tc>
          <w:tcPr>
            <w:tcW w:w="1008"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160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9</w:t>
            </w:r>
            <w:r w:rsidR="00055A97" w:rsidRPr="00A465E2">
              <w:rPr>
                <w:sz w:val="20"/>
                <w:szCs w:val="20"/>
                <w:lang w:val="en-US"/>
              </w:rPr>
              <w:t>.</w:t>
            </w:r>
            <w:r w:rsidRPr="00A465E2">
              <w:rPr>
                <w:sz w:val="20"/>
                <w:szCs w:val="20"/>
                <w:lang w:val="en-US"/>
              </w:rPr>
              <w:t>98</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11</w:t>
            </w:r>
            <w:r w:rsidR="00055A97" w:rsidRPr="00A465E2">
              <w:rPr>
                <w:sz w:val="20"/>
                <w:szCs w:val="20"/>
                <w:lang w:val="en-US"/>
              </w:rPr>
              <w:t>.</w:t>
            </w:r>
            <w:r w:rsidRPr="00A465E2">
              <w:rPr>
                <w:sz w:val="20"/>
                <w:szCs w:val="20"/>
                <w:lang w:val="en-US"/>
              </w:rPr>
              <w:t>30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rPr>
              <w:t>10.58</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12</w:t>
            </w:r>
            <w:r w:rsidR="00055A97" w:rsidRPr="00A465E2">
              <w:rPr>
                <w:sz w:val="20"/>
                <w:szCs w:val="20"/>
                <w:lang w:val="en-US"/>
              </w:rPr>
              <w:t>.</w:t>
            </w:r>
            <w:r w:rsidRPr="00A465E2">
              <w:rPr>
                <w:sz w:val="20"/>
                <w:szCs w:val="20"/>
                <w:lang w:val="en-US"/>
              </w:rPr>
              <w:t>16</w:t>
            </w:r>
          </w:p>
        </w:tc>
      </w:tr>
      <w:tr w:rsidR="00FB1E76" w:rsidRPr="00A465E2" w:rsidTr="00A465E2">
        <w:tc>
          <w:tcPr>
            <w:tcW w:w="1008"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80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9</w:t>
            </w:r>
            <w:r w:rsidR="00055A97" w:rsidRPr="00A465E2">
              <w:rPr>
                <w:sz w:val="20"/>
                <w:szCs w:val="20"/>
                <w:lang w:val="en-US"/>
              </w:rPr>
              <w:t>.</w:t>
            </w:r>
            <w:r w:rsidRPr="00A465E2">
              <w:rPr>
                <w:sz w:val="20"/>
                <w:szCs w:val="20"/>
                <w:lang w:val="en-US"/>
              </w:rPr>
              <w:t>88</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8</w:t>
            </w:r>
            <w:r w:rsidR="00055A97" w:rsidRPr="00A465E2">
              <w:rPr>
                <w:sz w:val="20"/>
                <w:szCs w:val="20"/>
                <w:lang w:val="en-US"/>
              </w:rPr>
              <w:t>.</w:t>
            </w:r>
            <w:r w:rsidRPr="00A465E2">
              <w:rPr>
                <w:sz w:val="20"/>
                <w:szCs w:val="20"/>
                <w:lang w:val="en-US"/>
              </w:rPr>
              <w:t>56</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6.52</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5</w:t>
            </w:r>
            <w:r w:rsidR="00055A97" w:rsidRPr="00A465E2">
              <w:rPr>
                <w:sz w:val="20"/>
                <w:szCs w:val="20"/>
                <w:lang w:val="en-US"/>
              </w:rPr>
              <w:t>.</w:t>
            </w:r>
            <w:r w:rsidRPr="00A465E2">
              <w:rPr>
                <w:sz w:val="20"/>
                <w:szCs w:val="20"/>
                <w:lang w:val="en-US"/>
              </w:rPr>
              <w:t>71</w:t>
            </w:r>
          </w:p>
        </w:tc>
      </w:tr>
      <w:tr w:rsidR="00FB1E76" w:rsidRPr="00A465E2" w:rsidTr="00A465E2">
        <w:tc>
          <w:tcPr>
            <w:tcW w:w="1008"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40</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w:t>
            </w:r>
            <w:r w:rsidR="00055A97" w:rsidRPr="00A465E2">
              <w:rPr>
                <w:sz w:val="20"/>
                <w:szCs w:val="20"/>
                <w:lang w:val="en-US"/>
              </w:rPr>
              <w:t>.</w:t>
            </w:r>
            <w:r w:rsidRPr="00A465E2">
              <w:rPr>
                <w:sz w:val="20"/>
                <w:szCs w:val="20"/>
                <w:lang w:val="en-US"/>
              </w:rPr>
              <w:t>88</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1.43</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1.47</w:t>
            </w:r>
          </w:p>
        </w:tc>
        <w:tc>
          <w:tcPr>
            <w:tcW w:w="720" w:type="dxa"/>
            <w:shd w:val="clear" w:color="auto" w:fill="auto"/>
          </w:tcPr>
          <w:p w:rsidR="00FB1E76" w:rsidRPr="00A465E2" w:rsidRDefault="00FB1E76" w:rsidP="00A465E2">
            <w:pPr>
              <w:tabs>
                <w:tab w:val="left" w:pos="4009"/>
              </w:tabs>
              <w:rPr>
                <w:sz w:val="20"/>
                <w:szCs w:val="20"/>
                <w:lang w:val="en-GB"/>
              </w:rPr>
            </w:pPr>
            <w:r w:rsidRPr="00A465E2">
              <w:rPr>
                <w:sz w:val="20"/>
                <w:szCs w:val="20"/>
                <w:lang w:val="en-US"/>
              </w:rPr>
              <w:t>1.18</w:t>
            </w:r>
          </w:p>
        </w:tc>
      </w:tr>
      <w:tr w:rsidR="00FB1E76" w:rsidRPr="00A465E2" w:rsidTr="00A465E2">
        <w:tc>
          <w:tcPr>
            <w:tcW w:w="1008" w:type="dxa"/>
            <w:shd w:val="clear" w:color="auto" w:fill="auto"/>
          </w:tcPr>
          <w:p w:rsidR="00FB1E76" w:rsidRPr="00A465E2" w:rsidRDefault="00FB1E76" w:rsidP="00A465E2">
            <w:pPr>
              <w:tabs>
                <w:tab w:val="left" w:pos="4009"/>
              </w:tabs>
              <w:rPr>
                <w:sz w:val="20"/>
                <w:szCs w:val="20"/>
                <w:lang w:val="en-US"/>
              </w:rPr>
            </w:pPr>
            <w:r w:rsidRPr="00A465E2">
              <w:rPr>
                <w:sz w:val="20"/>
                <w:szCs w:val="20"/>
                <w:lang w:val="en-US"/>
              </w:rPr>
              <w:t>&lt; 40</w:t>
            </w:r>
          </w:p>
        </w:tc>
        <w:tc>
          <w:tcPr>
            <w:tcW w:w="720" w:type="dxa"/>
            <w:shd w:val="clear" w:color="auto" w:fill="auto"/>
          </w:tcPr>
          <w:p w:rsidR="00FB1E76" w:rsidRPr="00A465E2" w:rsidRDefault="00FB1E76" w:rsidP="00A465E2">
            <w:pPr>
              <w:tabs>
                <w:tab w:val="left" w:pos="4009"/>
              </w:tabs>
              <w:rPr>
                <w:sz w:val="20"/>
                <w:szCs w:val="20"/>
                <w:lang w:val="en-US"/>
              </w:rPr>
            </w:pPr>
            <w:r w:rsidRPr="00A465E2">
              <w:rPr>
                <w:sz w:val="20"/>
                <w:szCs w:val="20"/>
                <w:lang w:val="en-US"/>
              </w:rPr>
              <w:t>0</w:t>
            </w:r>
          </w:p>
        </w:tc>
        <w:tc>
          <w:tcPr>
            <w:tcW w:w="720" w:type="dxa"/>
            <w:shd w:val="clear" w:color="auto" w:fill="auto"/>
          </w:tcPr>
          <w:p w:rsidR="00FB1E76" w:rsidRPr="00A465E2" w:rsidRDefault="00FB1E76" w:rsidP="00A465E2">
            <w:pPr>
              <w:tabs>
                <w:tab w:val="left" w:pos="4009"/>
              </w:tabs>
              <w:rPr>
                <w:sz w:val="20"/>
                <w:szCs w:val="20"/>
                <w:lang w:val="en-US"/>
              </w:rPr>
            </w:pPr>
            <w:r w:rsidRPr="00A465E2">
              <w:rPr>
                <w:sz w:val="20"/>
                <w:szCs w:val="20"/>
                <w:lang w:val="en-US"/>
              </w:rPr>
              <w:t>0.03</w:t>
            </w:r>
          </w:p>
        </w:tc>
        <w:tc>
          <w:tcPr>
            <w:tcW w:w="720" w:type="dxa"/>
            <w:shd w:val="clear" w:color="auto" w:fill="auto"/>
          </w:tcPr>
          <w:p w:rsidR="00FB1E76" w:rsidRPr="00A465E2" w:rsidRDefault="00FB1E76" w:rsidP="00A465E2">
            <w:pPr>
              <w:tabs>
                <w:tab w:val="left" w:pos="4009"/>
              </w:tabs>
              <w:rPr>
                <w:sz w:val="20"/>
                <w:szCs w:val="20"/>
                <w:lang w:val="en-US"/>
              </w:rPr>
            </w:pPr>
            <w:r w:rsidRPr="00A465E2">
              <w:rPr>
                <w:sz w:val="20"/>
                <w:szCs w:val="20"/>
                <w:lang w:val="en-US"/>
              </w:rPr>
              <w:t>0.05</w:t>
            </w:r>
          </w:p>
        </w:tc>
        <w:tc>
          <w:tcPr>
            <w:tcW w:w="720" w:type="dxa"/>
            <w:shd w:val="clear" w:color="auto" w:fill="auto"/>
          </w:tcPr>
          <w:p w:rsidR="00FB1E76" w:rsidRPr="00A465E2" w:rsidRDefault="00FB1E76" w:rsidP="00A465E2">
            <w:pPr>
              <w:tabs>
                <w:tab w:val="left" w:pos="4009"/>
              </w:tabs>
              <w:rPr>
                <w:sz w:val="20"/>
                <w:szCs w:val="20"/>
                <w:lang w:val="en-US"/>
              </w:rPr>
            </w:pPr>
            <w:r w:rsidRPr="00A465E2">
              <w:rPr>
                <w:sz w:val="20"/>
                <w:szCs w:val="20"/>
                <w:lang w:val="en-US"/>
              </w:rPr>
              <w:t>0.07</w:t>
            </w:r>
          </w:p>
        </w:tc>
      </w:tr>
    </w:tbl>
    <w:p w:rsidR="00567306" w:rsidRPr="00361E6E" w:rsidRDefault="000900D1" w:rsidP="000900D1">
      <w:pPr>
        <w:tabs>
          <w:tab w:val="left" w:pos="887"/>
          <w:tab w:val="left" w:pos="4320"/>
        </w:tabs>
        <w:spacing w:before="120" w:after="120"/>
        <w:jc w:val="both"/>
        <w:rPr>
          <w:lang w:val="en-US"/>
        </w:rPr>
      </w:pPr>
      <w:r>
        <w:rPr>
          <w:b/>
          <w:bCs/>
          <w:sz w:val="20"/>
          <w:szCs w:val="20"/>
          <w:lang w:val="en-US"/>
        </w:rPr>
        <w:t>Table 7</w:t>
      </w:r>
      <w:r w:rsidR="00567306" w:rsidRPr="00361E6E">
        <w:rPr>
          <w:b/>
          <w:bCs/>
          <w:sz w:val="20"/>
          <w:szCs w:val="20"/>
          <w:lang w:val="en-US"/>
        </w:rPr>
        <w:t>.</w:t>
      </w:r>
      <w:r w:rsidR="00567306" w:rsidRPr="00361E6E">
        <w:rPr>
          <w:sz w:val="20"/>
          <w:szCs w:val="20"/>
          <w:lang w:val="en-US"/>
        </w:rPr>
        <w:t xml:space="preserve"> Specific surface of different types of the </w:t>
      </w:r>
      <w:r w:rsidR="00567306">
        <w:rPr>
          <w:sz w:val="20"/>
          <w:szCs w:val="20"/>
          <w:lang w:val="en-US"/>
        </w:rPr>
        <w:t xml:space="preserve">Bouchane </w:t>
      </w:r>
      <w:r w:rsidR="00567306" w:rsidRPr="00361E6E">
        <w:rPr>
          <w:sz w:val="20"/>
          <w:szCs w:val="20"/>
          <w:lang w:val="en-US"/>
        </w:rPr>
        <w:t>phosphates</w:t>
      </w:r>
    </w:p>
    <w:tbl>
      <w:tblPr>
        <w:tblW w:w="43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720"/>
        <w:gridCol w:w="720"/>
        <w:gridCol w:w="720"/>
      </w:tblGrid>
      <w:tr w:rsidR="00992B74" w:rsidRPr="00A465E2" w:rsidTr="00A465E2">
        <w:tc>
          <w:tcPr>
            <w:tcW w:w="1440" w:type="dxa"/>
            <w:shd w:val="clear" w:color="auto" w:fill="auto"/>
          </w:tcPr>
          <w:p w:rsidR="00992B74" w:rsidRPr="00A465E2" w:rsidRDefault="00992B74" w:rsidP="00A465E2">
            <w:pPr>
              <w:widowControl w:val="0"/>
              <w:autoSpaceDE w:val="0"/>
              <w:autoSpaceDN w:val="0"/>
              <w:adjustRightInd w:val="0"/>
              <w:jc w:val="center"/>
              <w:rPr>
                <w:sz w:val="20"/>
                <w:szCs w:val="20"/>
              </w:rPr>
            </w:pPr>
            <w:r w:rsidRPr="00A465E2">
              <w:rPr>
                <w:sz w:val="20"/>
                <w:szCs w:val="20"/>
              </w:rPr>
              <w:t>Type of phosphates</w:t>
            </w:r>
          </w:p>
        </w:tc>
        <w:tc>
          <w:tcPr>
            <w:tcW w:w="720" w:type="dxa"/>
            <w:shd w:val="clear" w:color="auto" w:fill="auto"/>
          </w:tcPr>
          <w:p w:rsidR="00992B74" w:rsidRPr="00A465E2" w:rsidRDefault="00992B74" w:rsidP="00A465E2">
            <w:pPr>
              <w:widowControl w:val="0"/>
              <w:autoSpaceDE w:val="0"/>
              <w:autoSpaceDN w:val="0"/>
              <w:adjustRightInd w:val="0"/>
              <w:jc w:val="center"/>
              <w:rPr>
                <w:sz w:val="20"/>
                <w:szCs w:val="20"/>
              </w:rPr>
            </w:pPr>
            <w:r w:rsidRPr="00A465E2">
              <w:rPr>
                <w:sz w:val="20"/>
                <w:szCs w:val="20"/>
              </w:rPr>
              <w:t>A</w:t>
            </w:r>
          </w:p>
        </w:tc>
        <w:tc>
          <w:tcPr>
            <w:tcW w:w="720" w:type="dxa"/>
            <w:shd w:val="clear" w:color="auto" w:fill="auto"/>
          </w:tcPr>
          <w:p w:rsidR="00992B74" w:rsidRPr="00A465E2" w:rsidRDefault="00992B74" w:rsidP="00A465E2">
            <w:pPr>
              <w:widowControl w:val="0"/>
              <w:autoSpaceDE w:val="0"/>
              <w:autoSpaceDN w:val="0"/>
              <w:adjustRightInd w:val="0"/>
              <w:jc w:val="center"/>
              <w:rPr>
                <w:sz w:val="20"/>
                <w:szCs w:val="20"/>
              </w:rPr>
            </w:pPr>
            <w:r w:rsidRPr="00A465E2">
              <w:rPr>
                <w:sz w:val="20"/>
                <w:szCs w:val="20"/>
              </w:rPr>
              <w:t>B</w:t>
            </w:r>
          </w:p>
        </w:tc>
        <w:tc>
          <w:tcPr>
            <w:tcW w:w="720" w:type="dxa"/>
            <w:shd w:val="clear" w:color="auto" w:fill="auto"/>
          </w:tcPr>
          <w:p w:rsidR="00992B74" w:rsidRPr="00A465E2" w:rsidRDefault="00992B74" w:rsidP="00A465E2">
            <w:pPr>
              <w:widowControl w:val="0"/>
              <w:autoSpaceDE w:val="0"/>
              <w:autoSpaceDN w:val="0"/>
              <w:adjustRightInd w:val="0"/>
              <w:jc w:val="center"/>
              <w:rPr>
                <w:sz w:val="20"/>
                <w:szCs w:val="20"/>
              </w:rPr>
            </w:pPr>
            <w:r w:rsidRPr="00A465E2">
              <w:rPr>
                <w:sz w:val="20"/>
                <w:szCs w:val="20"/>
              </w:rPr>
              <w:t>C</w:t>
            </w:r>
          </w:p>
        </w:tc>
        <w:tc>
          <w:tcPr>
            <w:tcW w:w="720" w:type="dxa"/>
            <w:shd w:val="clear" w:color="auto" w:fill="auto"/>
          </w:tcPr>
          <w:p w:rsidR="00992B74" w:rsidRPr="00A465E2" w:rsidRDefault="00992B74" w:rsidP="00A465E2">
            <w:pPr>
              <w:widowControl w:val="0"/>
              <w:autoSpaceDE w:val="0"/>
              <w:autoSpaceDN w:val="0"/>
              <w:adjustRightInd w:val="0"/>
              <w:jc w:val="center"/>
              <w:rPr>
                <w:sz w:val="20"/>
                <w:szCs w:val="20"/>
              </w:rPr>
            </w:pPr>
            <w:r w:rsidRPr="00A465E2">
              <w:rPr>
                <w:sz w:val="20"/>
                <w:szCs w:val="20"/>
              </w:rPr>
              <w:t>D</w:t>
            </w:r>
          </w:p>
        </w:tc>
      </w:tr>
      <w:tr w:rsidR="00992B74" w:rsidRPr="00A465E2" w:rsidTr="00A465E2">
        <w:tc>
          <w:tcPr>
            <w:tcW w:w="1440" w:type="dxa"/>
            <w:shd w:val="clear" w:color="auto" w:fill="auto"/>
          </w:tcPr>
          <w:p w:rsidR="00992B74" w:rsidRPr="00A465E2" w:rsidRDefault="00992B74" w:rsidP="00A465E2">
            <w:pPr>
              <w:widowControl w:val="0"/>
              <w:autoSpaceDE w:val="0"/>
              <w:autoSpaceDN w:val="0"/>
              <w:adjustRightInd w:val="0"/>
              <w:jc w:val="center"/>
              <w:rPr>
                <w:i/>
                <w:iCs/>
                <w:sz w:val="20"/>
                <w:szCs w:val="20"/>
                <w:lang w:val="en-GB"/>
              </w:rPr>
            </w:pPr>
            <w:r w:rsidRPr="00A465E2">
              <w:rPr>
                <w:sz w:val="20"/>
                <w:szCs w:val="20"/>
              </w:rPr>
              <w:t>Specific surface (m</w:t>
            </w:r>
            <w:r w:rsidRPr="00A465E2">
              <w:rPr>
                <w:sz w:val="20"/>
                <w:szCs w:val="20"/>
                <w:vertAlign w:val="superscript"/>
              </w:rPr>
              <w:t>2</w:t>
            </w:r>
            <w:r w:rsidRPr="00A465E2">
              <w:rPr>
                <w:sz w:val="20"/>
                <w:szCs w:val="20"/>
              </w:rPr>
              <w:t>/g)</w:t>
            </w:r>
          </w:p>
        </w:tc>
        <w:tc>
          <w:tcPr>
            <w:tcW w:w="720" w:type="dxa"/>
            <w:shd w:val="clear" w:color="auto" w:fill="auto"/>
          </w:tcPr>
          <w:p w:rsidR="00992B74" w:rsidRPr="00A465E2" w:rsidRDefault="00992B74" w:rsidP="00A465E2">
            <w:pPr>
              <w:widowControl w:val="0"/>
              <w:autoSpaceDE w:val="0"/>
              <w:autoSpaceDN w:val="0"/>
              <w:adjustRightInd w:val="0"/>
              <w:jc w:val="center"/>
              <w:rPr>
                <w:i/>
                <w:iCs/>
                <w:sz w:val="20"/>
                <w:szCs w:val="20"/>
                <w:lang w:val="en-GB"/>
              </w:rPr>
            </w:pPr>
            <w:r w:rsidRPr="00A465E2">
              <w:rPr>
                <w:sz w:val="20"/>
                <w:szCs w:val="20"/>
              </w:rPr>
              <w:t>10</w:t>
            </w:r>
            <w:r w:rsidR="00055A97" w:rsidRPr="00A465E2">
              <w:rPr>
                <w:sz w:val="20"/>
                <w:szCs w:val="20"/>
              </w:rPr>
              <w:t>.</w:t>
            </w:r>
            <w:r w:rsidRPr="00A465E2">
              <w:rPr>
                <w:sz w:val="20"/>
                <w:szCs w:val="20"/>
              </w:rPr>
              <w:t>30</w:t>
            </w:r>
          </w:p>
        </w:tc>
        <w:tc>
          <w:tcPr>
            <w:tcW w:w="720" w:type="dxa"/>
            <w:shd w:val="clear" w:color="auto" w:fill="auto"/>
          </w:tcPr>
          <w:p w:rsidR="00992B74" w:rsidRPr="00A465E2" w:rsidRDefault="00992B74" w:rsidP="00A465E2">
            <w:pPr>
              <w:widowControl w:val="0"/>
              <w:autoSpaceDE w:val="0"/>
              <w:autoSpaceDN w:val="0"/>
              <w:adjustRightInd w:val="0"/>
              <w:jc w:val="center"/>
              <w:rPr>
                <w:i/>
                <w:iCs/>
                <w:sz w:val="20"/>
                <w:szCs w:val="20"/>
                <w:lang w:val="en-GB"/>
              </w:rPr>
            </w:pPr>
            <w:r w:rsidRPr="00A465E2">
              <w:rPr>
                <w:sz w:val="20"/>
                <w:szCs w:val="20"/>
                <w:lang w:val="en-US"/>
              </w:rPr>
              <w:t>10</w:t>
            </w:r>
            <w:r w:rsidR="00055A97" w:rsidRPr="00A465E2">
              <w:rPr>
                <w:sz w:val="20"/>
                <w:szCs w:val="20"/>
                <w:lang w:val="en-US"/>
              </w:rPr>
              <w:t>.</w:t>
            </w:r>
            <w:r w:rsidRPr="00A465E2">
              <w:rPr>
                <w:sz w:val="20"/>
                <w:szCs w:val="20"/>
                <w:lang w:val="en-US"/>
              </w:rPr>
              <w:t>20</w:t>
            </w:r>
          </w:p>
        </w:tc>
        <w:tc>
          <w:tcPr>
            <w:tcW w:w="720" w:type="dxa"/>
            <w:shd w:val="clear" w:color="auto" w:fill="auto"/>
          </w:tcPr>
          <w:p w:rsidR="00992B74" w:rsidRPr="00A465E2" w:rsidRDefault="00992B74" w:rsidP="00A465E2">
            <w:pPr>
              <w:widowControl w:val="0"/>
              <w:autoSpaceDE w:val="0"/>
              <w:autoSpaceDN w:val="0"/>
              <w:adjustRightInd w:val="0"/>
              <w:jc w:val="center"/>
              <w:rPr>
                <w:i/>
                <w:iCs/>
                <w:sz w:val="20"/>
                <w:szCs w:val="20"/>
                <w:lang w:val="en-GB"/>
              </w:rPr>
            </w:pPr>
            <w:r w:rsidRPr="00A465E2">
              <w:rPr>
                <w:sz w:val="20"/>
                <w:szCs w:val="20"/>
                <w:lang w:val="en-US"/>
              </w:rPr>
              <w:t>10</w:t>
            </w:r>
            <w:r w:rsidR="00055A97" w:rsidRPr="00A465E2">
              <w:rPr>
                <w:sz w:val="20"/>
                <w:szCs w:val="20"/>
                <w:lang w:val="en-US"/>
              </w:rPr>
              <w:t>.</w:t>
            </w:r>
            <w:r w:rsidRPr="00A465E2">
              <w:rPr>
                <w:sz w:val="20"/>
                <w:szCs w:val="20"/>
                <w:lang w:val="en-US"/>
              </w:rPr>
              <w:t>26</w:t>
            </w:r>
          </w:p>
        </w:tc>
        <w:tc>
          <w:tcPr>
            <w:tcW w:w="720" w:type="dxa"/>
            <w:shd w:val="clear" w:color="auto" w:fill="auto"/>
          </w:tcPr>
          <w:p w:rsidR="00992B74" w:rsidRPr="00A465E2" w:rsidRDefault="00992B74" w:rsidP="00A465E2">
            <w:pPr>
              <w:widowControl w:val="0"/>
              <w:autoSpaceDE w:val="0"/>
              <w:autoSpaceDN w:val="0"/>
              <w:adjustRightInd w:val="0"/>
              <w:ind w:left="-288" w:firstLine="288"/>
              <w:jc w:val="center"/>
              <w:rPr>
                <w:i/>
                <w:iCs/>
                <w:sz w:val="20"/>
                <w:szCs w:val="20"/>
                <w:lang w:val="en-GB"/>
              </w:rPr>
            </w:pPr>
            <w:r w:rsidRPr="00A465E2">
              <w:rPr>
                <w:sz w:val="20"/>
                <w:szCs w:val="20"/>
                <w:lang w:val="en-US"/>
              </w:rPr>
              <w:t>10</w:t>
            </w:r>
            <w:r w:rsidR="00055A97" w:rsidRPr="00A465E2">
              <w:rPr>
                <w:sz w:val="20"/>
                <w:szCs w:val="20"/>
                <w:lang w:val="en-US"/>
              </w:rPr>
              <w:t>.</w:t>
            </w:r>
            <w:r w:rsidRPr="00A465E2">
              <w:rPr>
                <w:sz w:val="20"/>
                <w:szCs w:val="20"/>
                <w:lang w:val="en-US"/>
              </w:rPr>
              <w:t>60</w:t>
            </w:r>
          </w:p>
        </w:tc>
      </w:tr>
    </w:tbl>
    <w:p w:rsidR="006652A0" w:rsidRPr="00361E6E" w:rsidRDefault="000900D1" w:rsidP="006652A0">
      <w:pPr>
        <w:tabs>
          <w:tab w:val="left" w:pos="4320"/>
        </w:tabs>
        <w:spacing w:before="240" w:after="120"/>
        <w:jc w:val="both"/>
        <w:rPr>
          <w:lang w:val="en-US"/>
        </w:rPr>
      </w:pPr>
      <w:r>
        <w:rPr>
          <w:b/>
          <w:bCs/>
          <w:sz w:val="20"/>
          <w:szCs w:val="20"/>
          <w:lang w:val="en-US"/>
        </w:rPr>
        <w:t>Table 8</w:t>
      </w:r>
      <w:r w:rsidR="006652A0" w:rsidRPr="00361E6E">
        <w:rPr>
          <w:b/>
          <w:bCs/>
          <w:sz w:val="20"/>
          <w:szCs w:val="20"/>
          <w:lang w:val="en-US"/>
        </w:rPr>
        <w:t>.</w:t>
      </w:r>
      <w:r w:rsidR="006652A0">
        <w:rPr>
          <w:sz w:val="20"/>
          <w:szCs w:val="20"/>
          <w:lang w:val="en-US"/>
        </w:rPr>
        <w:t xml:space="preserve"> Densi</w:t>
      </w:r>
      <w:r w:rsidR="006652A0" w:rsidRPr="00361E6E">
        <w:rPr>
          <w:sz w:val="20"/>
          <w:szCs w:val="20"/>
          <w:lang w:val="en-US"/>
        </w:rPr>
        <w:t>ties of different types of the studied phosphates</w:t>
      </w:r>
    </w:p>
    <w:tbl>
      <w:tblPr>
        <w:tblW w:w="40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32"/>
        <w:gridCol w:w="628"/>
        <w:gridCol w:w="720"/>
        <w:gridCol w:w="720"/>
      </w:tblGrid>
      <w:tr w:rsidR="00055A97" w:rsidRPr="00A465E2" w:rsidTr="00A465E2">
        <w:tc>
          <w:tcPr>
            <w:tcW w:w="1368" w:type="dxa"/>
            <w:shd w:val="clear" w:color="auto" w:fill="auto"/>
          </w:tcPr>
          <w:p w:rsidR="00055A97" w:rsidRPr="00A465E2" w:rsidRDefault="00055A97" w:rsidP="00A465E2">
            <w:pPr>
              <w:widowControl w:val="0"/>
              <w:autoSpaceDE w:val="0"/>
              <w:autoSpaceDN w:val="0"/>
              <w:adjustRightInd w:val="0"/>
              <w:jc w:val="center"/>
              <w:rPr>
                <w:sz w:val="20"/>
                <w:szCs w:val="20"/>
                <w:lang w:val="en-US"/>
              </w:rPr>
            </w:pPr>
            <w:r w:rsidRPr="00A465E2">
              <w:rPr>
                <w:sz w:val="20"/>
                <w:szCs w:val="20"/>
                <w:lang w:val="en-US"/>
              </w:rPr>
              <w:t>Type of phosphates</w:t>
            </w:r>
          </w:p>
        </w:tc>
        <w:tc>
          <w:tcPr>
            <w:tcW w:w="632" w:type="dxa"/>
            <w:shd w:val="clear" w:color="auto" w:fill="auto"/>
          </w:tcPr>
          <w:p w:rsidR="00055A97" w:rsidRPr="00A465E2" w:rsidRDefault="00055A97" w:rsidP="00A465E2">
            <w:pPr>
              <w:widowControl w:val="0"/>
              <w:autoSpaceDE w:val="0"/>
              <w:autoSpaceDN w:val="0"/>
              <w:adjustRightInd w:val="0"/>
              <w:jc w:val="center"/>
              <w:rPr>
                <w:sz w:val="20"/>
                <w:szCs w:val="20"/>
                <w:lang w:val="en-US"/>
              </w:rPr>
            </w:pPr>
            <w:r w:rsidRPr="00A465E2">
              <w:rPr>
                <w:sz w:val="20"/>
                <w:szCs w:val="20"/>
                <w:lang w:val="en-US"/>
              </w:rPr>
              <w:t>A</w:t>
            </w:r>
          </w:p>
        </w:tc>
        <w:tc>
          <w:tcPr>
            <w:tcW w:w="628" w:type="dxa"/>
            <w:shd w:val="clear" w:color="auto" w:fill="auto"/>
          </w:tcPr>
          <w:p w:rsidR="00055A97" w:rsidRPr="00A465E2" w:rsidRDefault="00055A97" w:rsidP="00A465E2">
            <w:pPr>
              <w:widowControl w:val="0"/>
              <w:autoSpaceDE w:val="0"/>
              <w:autoSpaceDN w:val="0"/>
              <w:adjustRightInd w:val="0"/>
              <w:jc w:val="center"/>
              <w:rPr>
                <w:sz w:val="20"/>
                <w:szCs w:val="20"/>
                <w:lang w:val="en-US"/>
              </w:rPr>
            </w:pPr>
            <w:r w:rsidRPr="00A465E2">
              <w:rPr>
                <w:sz w:val="20"/>
                <w:szCs w:val="20"/>
                <w:lang w:val="en-US"/>
              </w:rPr>
              <w:t>B</w:t>
            </w:r>
          </w:p>
        </w:tc>
        <w:tc>
          <w:tcPr>
            <w:tcW w:w="720" w:type="dxa"/>
            <w:shd w:val="clear" w:color="auto" w:fill="auto"/>
          </w:tcPr>
          <w:p w:rsidR="00055A97" w:rsidRPr="00A465E2" w:rsidRDefault="00055A97" w:rsidP="00A465E2">
            <w:pPr>
              <w:widowControl w:val="0"/>
              <w:autoSpaceDE w:val="0"/>
              <w:autoSpaceDN w:val="0"/>
              <w:adjustRightInd w:val="0"/>
              <w:jc w:val="center"/>
              <w:rPr>
                <w:sz w:val="20"/>
                <w:szCs w:val="20"/>
                <w:lang w:val="en-US"/>
              </w:rPr>
            </w:pPr>
            <w:r w:rsidRPr="00A465E2">
              <w:rPr>
                <w:sz w:val="20"/>
                <w:szCs w:val="20"/>
                <w:lang w:val="en-US"/>
              </w:rPr>
              <w:t>C</w:t>
            </w:r>
          </w:p>
        </w:tc>
        <w:tc>
          <w:tcPr>
            <w:tcW w:w="720" w:type="dxa"/>
            <w:shd w:val="clear" w:color="auto" w:fill="auto"/>
          </w:tcPr>
          <w:p w:rsidR="00055A97" w:rsidRPr="00A465E2" w:rsidRDefault="00055A97" w:rsidP="00A465E2">
            <w:pPr>
              <w:widowControl w:val="0"/>
              <w:autoSpaceDE w:val="0"/>
              <w:autoSpaceDN w:val="0"/>
              <w:adjustRightInd w:val="0"/>
              <w:jc w:val="center"/>
              <w:rPr>
                <w:sz w:val="20"/>
                <w:szCs w:val="20"/>
                <w:lang w:val="en-US"/>
              </w:rPr>
            </w:pPr>
            <w:r w:rsidRPr="00A465E2">
              <w:rPr>
                <w:sz w:val="20"/>
                <w:szCs w:val="20"/>
                <w:lang w:val="en-US"/>
              </w:rPr>
              <w:t>D</w:t>
            </w:r>
          </w:p>
        </w:tc>
      </w:tr>
      <w:tr w:rsidR="00055A97" w:rsidRPr="00A465E2" w:rsidTr="00A465E2">
        <w:tc>
          <w:tcPr>
            <w:tcW w:w="1368" w:type="dxa"/>
            <w:shd w:val="clear" w:color="auto" w:fill="auto"/>
          </w:tcPr>
          <w:p w:rsidR="00055A97" w:rsidRPr="00A465E2" w:rsidRDefault="00055A97" w:rsidP="00A465E2">
            <w:pPr>
              <w:widowControl w:val="0"/>
              <w:autoSpaceDE w:val="0"/>
              <w:autoSpaceDN w:val="0"/>
              <w:adjustRightInd w:val="0"/>
              <w:jc w:val="center"/>
              <w:rPr>
                <w:i/>
                <w:iCs/>
                <w:sz w:val="20"/>
                <w:szCs w:val="20"/>
                <w:lang w:val="en-US"/>
              </w:rPr>
            </w:pPr>
            <w:r w:rsidRPr="00A465E2">
              <w:rPr>
                <w:sz w:val="20"/>
                <w:szCs w:val="20"/>
                <w:lang w:val="en-US"/>
              </w:rPr>
              <w:t>Density (g/cm</w:t>
            </w:r>
            <w:r w:rsidRPr="00A465E2">
              <w:rPr>
                <w:sz w:val="20"/>
                <w:szCs w:val="20"/>
                <w:vertAlign w:val="superscript"/>
                <w:lang w:val="en-US"/>
              </w:rPr>
              <w:t>3</w:t>
            </w:r>
            <w:r w:rsidRPr="00A465E2">
              <w:rPr>
                <w:sz w:val="20"/>
                <w:szCs w:val="20"/>
                <w:lang w:val="en-US"/>
              </w:rPr>
              <w:t>)</w:t>
            </w:r>
          </w:p>
        </w:tc>
        <w:tc>
          <w:tcPr>
            <w:tcW w:w="632" w:type="dxa"/>
            <w:shd w:val="clear" w:color="auto" w:fill="auto"/>
          </w:tcPr>
          <w:p w:rsidR="00055A97" w:rsidRPr="00A465E2" w:rsidRDefault="00055A97" w:rsidP="00A465E2">
            <w:pPr>
              <w:widowControl w:val="0"/>
              <w:autoSpaceDE w:val="0"/>
              <w:autoSpaceDN w:val="0"/>
              <w:adjustRightInd w:val="0"/>
              <w:jc w:val="center"/>
              <w:rPr>
                <w:i/>
                <w:iCs/>
                <w:sz w:val="20"/>
                <w:szCs w:val="20"/>
                <w:lang w:val="en-US"/>
              </w:rPr>
            </w:pPr>
            <w:r w:rsidRPr="00A465E2">
              <w:rPr>
                <w:sz w:val="20"/>
                <w:szCs w:val="20"/>
                <w:lang w:val="en-US"/>
              </w:rPr>
              <w:t>3.17</w:t>
            </w:r>
          </w:p>
        </w:tc>
        <w:tc>
          <w:tcPr>
            <w:tcW w:w="628" w:type="dxa"/>
            <w:shd w:val="clear" w:color="auto" w:fill="auto"/>
          </w:tcPr>
          <w:p w:rsidR="00055A97" w:rsidRPr="00A465E2" w:rsidRDefault="00055A97" w:rsidP="00A465E2">
            <w:pPr>
              <w:widowControl w:val="0"/>
              <w:autoSpaceDE w:val="0"/>
              <w:autoSpaceDN w:val="0"/>
              <w:adjustRightInd w:val="0"/>
              <w:jc w:val="center"/>
              <w:rPr>
                <w:i/>
                <w:iCs/>
                <w:sz w:val="20"/>
                <w:szCs w:val="20"/>
                <w:lang w:val="en-US"/>
              </w:rPr>
            </w:pPr>
            <w:r w:rsidRPr="00A465E2">
              <w:rPr>
                <w:sz w:val="20"/>
                <w:szCs w:val="20"/>
                <w:lang w:val="en-US"/>
              </w:rPr>
              <w:t>3.14</w:t>
            </w:r>
          </w:p>
        </w:tc>
        <w:tc>
          <w:tcPr>
            <w:tcW w:w="720" w:type="dxa"/>
            <w:shd w:val="clear" w:color="auto" w:fill="auto"/>
          </w:tcPr>
          <w:p w:rsidR="00055A97" w:rsidRPr="00A465E2" w:rsidRDefault="00055A97" w:rsidP="00A465E2">
            <w:pPr>
              <w:widowControl w:val="0"/>
              <w:autoSpaceDE w:val="0"/>
              <w:autoSpaceDN w:val="0"/>
              <w:adjustRightInd w:val="0"/>
              <w:jc w:val="center"/>
              <w:rPr>
                <w:i/>
                <w:iCs/>
                <w:sz w:val="20"/>
                <w:szCs w:val="20"/>
                <w:lang w:val="en-US"/>
              </w:rPr>
            </w:pPr>
            <w:r w:rsidRPr="00A465E2">
              <w:rPr>
                <w:sz w:val="20"/>
                <w:szCs w:val="20"/>
                <w:lang w:val="en-US"/>
              </w:rPr>
              <w:t>3.16</w:t>
            </w:r>
          </w:p>
        </w:tc>
        <w:tc>
          <w:tcPr>
            <w:tcW w:w="720" w:type="dxa"/>
            <w:shd w:val="clear" w:color="auto" w:fill="auto"/>
          </w:tcPr>
          <w:p w:rsidR="00055A97" w:rsidRPr="00A465E2" w:rsidRDefault="00055A97" w:rsidP="00A465E2">
            <w:pPr>
              <w:widowControl w:val="0"/>
              <w:autoSpaceDE w:val="0"/>
              <w:autoSpaceDN w:val="0"/>
              <w:adjustRightInd w:val="0"/>
              <w:jc w:val="center"/>
              <w:rPr>
                <w:i/>
                <w:iCs/>
                <w:sz w:val="20"/>
                <w:szCs w:val="20"/>
                <w:lang w:val="en-US"/>
              </w:rPr>
            </w:pPr>
            <w:r w:rsidRPr="00A465E2">
              <w:rPr>
                <w:sz w:val="20"/>
                <w:szCs w:val="20"/>
                <w:lang w:val="en-US"/>
              </w:rPr>
              <w:t>2.92</w:t>
            </w:r>
          </w:p>
        </w:tc>
      </w:tr>
    </w:tbl>
    <w:p w:rsidR="00055A97" w:rsidRPr="00361E6E" w:rsidRDefault="00055A97" w:rsidP="00055A97">
      <w:pPr>
        <w:tabs>
          <w:tab w:val="left" w:pos="288"/>
          <w:tab w:val="left" w:pos="4320"/>
        </w:tabs>
        <w:spacing w:before="240" w:after="240"/>
        <w:rPr>
          <w:b/>
          <w:bCs/>
          <w:lang w:val="en-US"/>
        </w:rPr>
      </w:pPr>
      <w:r>
        <w:rPr>
          <w:b/>
          <w:bCs/>
          <w:lang w:val="en-US"/>
        </w:rPr>
        <w:t xml:space="preserve">6. </w:t>
      </w:r>
      <w:r w:rsidRPr="00361E6E">
        <w:rPr>
          <w:b/>
          <w:bCs/>
          <w:lang w:val="en-US"/>
        </w:rPr>
        <w:t>Synthesis and discussions</w:t>
      </w:r>
    </w:p>
    <w:p w:rsidR="00055A97" w:rsidRDefault="00055A97" w:rsidP="00055A97">
      <w:pPr>
        <w:tabs>
          <w:tab w:val="left" w:pos="4320"/>
        </w:tabs>
        <w:autoSpaceDE w:val="0"/>
        <w:autoSpaceDN w:val="0"/>
        <w:adjustRightInd w:val="0"/>
        <w:ind w:firstLine="284"/>
        <w:jc w:val="both"/>
        <w:rPr>
          <w:lang w:val="en-US"/>
        </w:rPr>
      </w:pPr>
      <w:r w:rsidRPr="00361E6E">
        <w:rPr>
          <w:lang w:val="en-US"/>
        </w:rPr>
        <w:t xml:space="preserve">The different techniques of analysis applied to a series of representative samples of the phosphate from the studied area have demonstrated a close relationship between mineralogical phases, particle size distribution, density and the evolution of the main control parameters of </w:t>
      </w:r>
      <w:r w:rsidRPr="004319F0">
        <w:rPr>
          <w:rStyle w:val="longtext1"/>
          <w:sz w:val="24"/>
          <w:szCs w:val="24"/>
          <w:shd w:val="clear" w:color="auto" w:fill="FFFFFF"/>
          <w:lang w:val="en-US"/>
        </w:rPr>
        <w:t>the calcination</w:t>
      </w:r>
      <w:r w:rsidRPr="00361E6E">
        <w:rPr>
          <w:lang w:val="en-US"/>
        </w:rPr>
        <w:t xml:space="preserve"> according to the time and temperature</w:t>
      </w:r>
      <w:r>
        <w:rPr>
          <w:lang w:val="en-US"/>
        </w:rPr>
        <w:t xml:space="preserve"> [4; 7]</w:t>
      </w:r>
      <w:r w:rsidRPr="00361E6E">
        <w:rPr>
          <w:lang w:val="en-US"/>
        </w:rPr>
        <w:t>. The mineralogical study revealed that the matrix is a carbonated fluorapatite highly substituted whose coating consists mainly of dolomite, calcite and quartz</w:t>
      </w:r>
      <w:r>
        <w:rPr>
          <w:lang w:val="en-US"/>
        </w:rPr>
        <w:t xml:space="preserve"> [7]</w:t>
      </w:r>
      <w:r w:rsidRPr="00361E6E">
        <w:rPr>
          <w:lang w:val="en-US"/>
        </w:rPr>
        <w:t>.</w:t>
      </w:r>
    </w:p>
    <w:p w:rsidR="00055A97" w:rsidRPr="00361E6E" w:rsidRDefault="00055A97" w:rsidP="00055A97">
      <w:pPr>
        <w:tabs>
          <w:tab w:val="left" w:pos="4320"/>
        </w:tabs>
        <w:autoSpaceDE w:val="0"/>
        <w:autoSpaceDN w:val="0"/>
        <w:adjustRightInd w:val="0"/>
        <w:ind w:firstLine="284"/>
        <w:jc w:val="both"/>
        <w:rPr>
          <w:lang w:val="en-US"/>
        </w:rPr>
      </w:pPr>
      <w:r w:rsidRPr="004B67F1">
        <w:rPr>
          <w:lang w:val="en-US"/>
        </w:rPr>
        <w:t>Indeed, the percentage by weight P</w:t>
      </w:r>
      <w:r w:rsidRPr="004B67F1">
        <w:rPr>
          <w:vertAlign w:val="subscript"/>
          <w:lang w:val="en-US"/>
        </w:rPr>
        <w:t>2</w:t>
      </w:r>
      <w:r w:rsidRPr="004B67F1">
        <w:rPr>
          <w:lang w:val="en-US"/>
        </w:rPr>
        <w:t>O</w:t>
      </w:r>
      <w:r w:rsidRPr="004B67F1">
        <w:rPr>
          <w:vertAlign w:val="subscript"/>
          <w:lang w:val="en-US"/>
        </w:rPr>
        <w:t>5</w:t>
      </w:r>
      <w:r>
        <w:rPr>
          <w:vertAlign w:val="subscript"/>
          <w:lang w:val="en-US"/>
        </w:rPr>
        <w:t xml:space="preserve"> </w:t>
      </w:r>
      <w:r>
        <w:rPr>
          <w:lang w:val="en-US"/>
        </w:rPr>
        <w:t xml:space="preserve">and </w:t>
      </w:r>
      <w:r w:rsidRPr="004B67F1">
        <w:rPr>
          <w:lang w:val="en-US"/>
        </w:rPr>
        <w:t>CaO</w:t>
      </w:r>
      <w:r>
        <w:rPr>
          <w:lang w:val="en-US"/>
        </w:rPr>
        <w:t xml:space="preserve"> are higher in the calcined phosphate (B) from the raw phosphate (A). Conversely, the percentages by weight in </w:t>
      </w:r>
      <w:r w:rsidRPr="000002B5">
        <w:rPr>
          <w:lang w:val="en-US"/>
        </w:rPr>
        <w:t>C</w:t>
      </w:r>
      <w:r w:rsidRPr="000002B5">
        <w:rPr>
          <w:vertAlign w:val="subscript"/>
          <w:lang w:val="en-US"/>
        </w:rPr>
        <w:t>org</w:t>
      </w:r>
      <w:r w:rsidR="004319F0">
        <w:rPr>
          <w:lang w:val="en-US"/>
        </w:rPr>
        <w:t xml:space="preserve"> and </w:t>
      </w:r>
      <w:r w:rsidRPr="000002B5">
        <w:rPr>
          <w:lang w:val="en-US"/>
        </w:rPr>
        <w:t>CO</w:t>
      </w:r>
      <w:r w:rsidRPr="000002B5">
        <w:rPr>
          <w:vertAlign w:val="subscript"/>
          <w:lang w:val="en-US"/>
        </w:rPr>
        <w:t>2</w:t>
      </w:r>
      <w:r w:rsidRPr="000002B5">
        <w:rPr>
          <w:lang w:val="en-US"/>
        </w:rPr>
        <w:t xml:space="preserve"> are reduced in the calcined phosphate (B) through decarbonatation reactions and oxidation of organic material during calcination</w:t>
      </w:r>
      <w:r>
        <w:rPr>
          <w:lang w:val="en-US"/>
        </w:rPr>
        <w:t xml:space="preserve">. As a result, the main constituents of control </w:t>
      </w:r>
      <w:r w:rsidRPr="000002B5">
        <w:rPr>
          <w:lang w:val="en-US"/>
        </w:rPr>
        <w:t>(C</w:t>
      </w:r>
      <w:r w:rsidRPr="000002B5">
        <w:rPr>
          <w:vertAlign w:val="subscript"/>
          <w:lang w:val="en-US"/>
        </w:rPr>
        <w:t>org</w:t>
      </w:r>
      <w:r w:rsidRPr="000002B5">
        <w:rPr>
          <w:lang w:val="en-US"/>
        </w:rPr>
        <w:t>, CO</w:t>
      </w:r>
      <w:r w:rsidRPr="000002B5">
        <w:rPr>
          <w:vertAlign w:val="subscript"/>
          <w:lang w:val="en-US"/>
        </w:rPr>
        <w:t>2</w:t>
      </w:r>
      <w:r w:rsidRPr="000002B5">
        <w:rPr>
          <w:lang w:val="en-US"/>
        </w:rPr>
        <w:t>, P</w:t>
      </w:r>
      <w:r w:rsidRPr="000002B5">
        <w:rPr>
          <w:vertAlign w:val="subscript"/>
          <w:lang w:val="en-US"/>
        </w:rPr>
        <w:t>2</w:t>
      </w:r>
      <w:r w:rsidRPr="000002B5">
        <w:rPr>
          <w:lang w:val="en-US"/>
        </w:rPr>
        <w:t>O</w:t>
      </w:r>
      <w:r w:rsidRPr="000002B5">
        <w:rPr>
          <w:vertAlign w:val="subscript"/>
          <w:lang w:val="en-US"/>
        </w:rPr>
        <w:t>5</w:t>
      </w:r>
      <w:r w:rsidRPr="000002B5">
        <w:rPr>
          <w:lang w:val="en-US"/>
        </w:rPr>
        <w:t xml:space="preserve"> </w:t>
      </w:r>
      <w:r>
        <w:rPr>
          <w:lang w:val="en-US"/>
        </w:rPr>
        <w:t>and</w:t>
      </w:r>
      <w:r w:rsidRPr="000002B5">
        <w:rPr>
          <w:lang w:val="en-US"/>
        </w:rPr>
        <w:t xml:space="preserve"> CaO)</w:t>
      </w:r>
      <w:r>
        <w:rPr>
          <w:lang w:val="en-US"/>
        </w:rPr>
        <w:t xml:space="preserve"> the calcination of phosphate with a chemical kinetics that increases with time and temperature until a time of 30 minutes and a temperature of </w:t>
      </w:r>
      <w:smartTag w:uri="urn:schemas-microsoft-com:office:smarttags" w:element="metricconverter">
        <w:smartTagPr>
          <w:attr w:name="ProductID" w:val="800ﾰC"/>
        </w:smartTagPr>
        <w:r>
          <w:rPr>
            <w:lang w:val="en-US"/>
          </w:rPr>
          <w:t>800°C</w:t>
        </w:r>
      </w:smartTag>
      <w:r>
        <w:rPr>
          <w:lang w:val="en-US"/>
        </w:rPr>
        <w:t xml:space="preserve">. Apart, it follows an almost identical profile. </w:t>
      </w:r>
      <w:r>
        <w:rPr>
          <w:rStyle w:val="hps"/>
          <w:lang w:val="en"/>
        </w:rPr>
        <w:t>By this,</w:t>
      </w:r>
      <w:r>
        <w:rPr>
          <w:rStyle w:val="longtext"/>
          <w:lang w:val="en"/>
        </w:rPr>
        <w:t xml:space="preserve"> </w:t>
      </w:r>
      <w:r>
        <w:rPr>
          <w:rStyle w:val="hps"/>
          <w:lang w:val="en"/>
        </w:rPr>
        <w:t>we were able to</w:t>
      </w:r>
      <w:r>
        <w:rPr>
          <w:rStyle w:val="longtext"/>
          <w:lang w:val="en"/>
        </w:rPr>
        <w:t xml:space="preserve"> </w:t>
      </w:r>
      <w:r>
        <w:rPr>
          <w:rStyle w:val="hps"/>
          <w:lang w:val="en"/>
        </w:rPr>
        <w:t>increase the weight</w:t>
      </w:r>
      <w:r>
        <w:rPr>
          <w:rStyle w:val="longtext"/>
          <w:lang w:val="en"/>
        </w:rPr>
        <w:t xml:space="preserve"> </w:t>
      </w:r>
      <w:r>
        <w:rPr>
          <w:rStyle w:val="hps"/>
          <w:lang w:val="en"/>
        </w:rPr>
        <w:t>of</w:t>
      </w:r>
      <w:r>
        <w:rPr>
          <w:rStyle w:val="longtext"/>
          <w:lang w:val="en"/>
        </w:rPr>
        <w:t xml:space="preserve"> </w:t>
      </w:r>
      <w:r>
        <w:rPr>
          <w:rStyle w:val="hps"/>
          <w:lang w:val="en"/>
        </w:rPr>
        <w:t>P</w:t>
      </w:r>
      <w:r w:rsidRPr="00383AEE">
        <w:rPr>
          <w:rStyle w:val="hps"/>
          <w:vertAlign w:val="subscript"/>
          <w:lang w:val="en"/>
        </w:rPr>
        <w:t>2</w:t>
      </w:r>
      <w:r>
        <w:rPr>
          <w:rStyle w:val="hps"/>
          <w:lang w:val="en"/>
        </w:rPr>
        <w:t>O</w:t>
      </w:r>
      <w:r w:rsidRPr="00383AEE">
        <w:rPr>
          <w:rStyle w:val="hps"/>
          <w:vertAlign w:val="subscript"/>
          <w:lang w:val="en"/>
        </w:rPr>
        <w:t>5</w:t>
      </w:r>
      <w:r>
        <w:rPr>
          <w:rStyle w:val="longtext"/>
          <w:lang w:val="en"/>
        </w:rPr>
        <w:t xml:space="preserve"> </w:t>
      </w:r>
      <w:r>
        <w:rPr>
          <w:rStyle w:val="hps"/>
          <w:lang w:val="en"/>
        </w:rPr>
        <w:t>30.39</w:t>
      </w:r>
      <w:r>
        <w:rPr>
          <w:rStyle w:val="longtext"/>
          <w:lang w:val="en"/>
        </w:rPr>
        <w:t xml:space="preserve">% to </w:t>
      </w:r>
      <w:r>
        <w:rPr>
          <w:rStyle w:val="hps"/>
          <w:lang w:val="en"/>
        </w:rPr>
        <w:t>34.23</w:t>
      </w:r>
      <w:r>
        <w:rPr>
          <w:rStyle w:val="longtext"/>
          <w:lang w:val="en"/>
        </w:rPr>
        <w:t>% and reduce levels of organic carbon (</w:t>
      </w:r>
      <w:r w:rsidRPr="000002B5">
        <w:rPr>
          <w:lang w:val="en-US"/>
        </w:rPr>
        <w:t>C</w:t>
      </w:r>
      <w:r w:rsidRPr="000002B5">
        <w:rPr>
          <w:vertAlign w:val="subscript"/>
          <w:lang w:val="en-US"/>
        </w:rPr>
        <w:t>org</w:t>
      </w:r>
      <w:r>
        <w:rPr>
          <w:lang w:val="en-US"/>
        </w:rPr>
        <w:t>) and carbon dioxide (</w:t>
      </w:r>
      <w:r w:rsidRPr="000002B5">
        <w:rPr>
          <w:lang w:val="en-US"/>
        </w:rPr>
        <w:t>CO</w:t>
      </w:r>
      <w:r w:rsidRPr="000002B5">
        <w:rPr>
          <w:vertAlign w:val="subscript"/>
          <w:lang w:val="en-US"/>
        </w:rPr>
        <w:t>2</w:t>
      </w:r>
      <w:r>
        <w:rPr>
          <w:lang w:val="en-US"/>
        </w:rPr>
        <w:t>) by 1.4% to 0.15% and 6.6% to 1.8%.</w:t>
      </w:r>
    </w:p>
    <w:p w:rsidR="00055A97" w:rsidRPr="00361E6E" w:rsidRDefault="00055A97" w:rsidP="00CA5663">
      <w:pPr>
        <w:tabs>
          <w:tab w:val="left" w:pos="4320"/>
        </w:tabs>
        <w:autoSpaceDE w:val="0"/>
        <w:autoSpaceDN w:val="0"/>
        <w:adjustRightInd w:val="0"/>
        <w:ind w:firstLine="284"/>
        <w:jc w:val="both"/>
        <w:rPr>
          <w:lang w:val="en-US"/>
        </w:rPr>
      </w:pPr>
      <w:r w:rsidRPr="00361E6E">
        <w:rPr>
          <w:bCs/>
          <w:lang w:val="en-US"/>
        </w:rPr>
        <w:t>From the point of view of the chemical composition, the contents of the phosphorus pentoxide (P</w:t>
      </w:r>
      <w:r w:rsidRPr="00361E6E">
        <w:rPr>
          <w:bCs/>
          <w:vertAlign w:val="subscript"/>
          <w:lang w:val="en-US"/>
        </w:rPr>
        <w:t>2</w:t>
      </w:r>
      <w:r w:rsidRPr="00361E6E">
        <w:rPr>
          <w:bCs/>
          <w:lang w:val="en-US"/>
        </w:rPr>
        <w:t>O</w:t>
      </w:r>
      <w:r w:rsidRPr="00361E6E">
        <w:rPr>
          <w:bCs/>
          <w:vertAlign w:val="subscript"/>
          <w:lang w:val="en-US"/>
        </w:rPr>
        <w:t>5</w:t>
      </w:r>
      <w:r w:rsidRPr="00361E6E">
        <w:rPr>
          <w:bCs/>
          <w:lang w:val="en-US"/>
        </w:rPr>
        <w:t>) and the lime (CaO) are higher in the hot mixture than the cold one. In contrast, the C</w:t>
      </w:r>
      <w:r w:rsidRPr="00361E6E">
        <w:rPr>
          <w:bCs/>
          <w:vertAlign w:val="subscript"/>
          <w:lang w:val="en-US"/>
        </w:rPr>
        <w:t>org</w:t>
      </w:r>
      <w:r w:rsidRPr="00361E6E">
        <w:rPr>
          <w:bCs/>
          <w:lang w:val="en-US"/>
        </w:rPr>
        <w:t xml:space="preserve"> and CO</w:t>
      </w:r>
      <w:r w:rsidRPr="00361E6E">
        <w:rPr>
          <w:bCs/>
          <w:vertAlign w:val="subscript"/>
          <w:lang w:val="en-US"/>
        </w:rPr>
        <w:t>2</w:t>
      </w:r>
      <w:r w:rsidRPr="00361E6E">
        <w:rPr>
          <w:bCs/>
          <w:lang w:val="en-US"/>
        </w:rPr>
        <w:t xml:space="preserve"> contents decreased in the hot mixture </w:t>
      </w:r>
      <w:r w:rsidRPr="00361E6E">
        <w:rPr>
          <w:lang w:val="en-US"/>
        </w:rPr>
        <w:t>(</w:t>
      </w:r>
      <w:r w:rsidR="005D65B1">
        <w:rPr>
          <w:lang w:val="en-US"/>
        </w:rPr>
        <w:t xml:space="preserve">Figure 7 and </w:t>
      </w:r>
      <w:r w:rsidRPr="00361E6E">
        <w:rPr>
          <w:lang w:val="en-US"/>
        </w:rPr>
        <w:t xml:space="preserve">Table </w:t>
      </w:r>
      <w:r w:rsidR="00CA5663">
        <w:rPr>
          <w:lang w:val="en-US"/>
        </w:rPr>
        <w:t>4</w:t>
      </w:r>
      <w:r w:rsidRPr="00361E6E">
        <w:rPr>
          <w:lang w:val="en-US"/>
        </w:rPr>
        <w:t>)</w:t>
      </w:r>
      <w:r w:rsidRPr="00361E6E">
        <w:rPr>
          <w:bCs/>
          <w:lang w:val="en-US"/>
        </w:rPr>
        <w:t>. This was caused by the dehydration and the decarbonation and the oxidation reactions of the organic matter during the cooling cycle when mixing hot.</w:t>
      </w:r>
      <w:r w:rsidRPr="00361E6E">
        <w:rPr>
          <w:lang w:val="en-US"/>
        </w:rPr>
        <w:t xml:space="preserve"> The phosphate’s chemical composition affects has an influence upon the kinetics of its thermic treatment because all components do not react at the same speed. The presence or absence of impurities on the grain would also change significantly the process of heat treatment at the granular level. The decrease in the organic matter and carbonates causes an increase in the responsiveness of a less rich phosphate. This phenomenon occurs in the calcined phosphate and the hot mixture.</w:t>
      </w:r>
    </w:p>
    <w:p w:rsidR="00055A97" w:rsidRPr="00361E6E" w:rsidRDefault="00055A97" w:rsidP="00CA5663">
      <w:pPr>
        <w:tabs>
          <w:tab w:val="left" w:pos="4320"/>
        </w:tabs>
        <w:autoSpaceDE w:val="0"/>
        <w:autoSpaceDN w:val="0"/>
        <w:adjustRightInd w:val="0"/>
        <w:ind w:firstLine="284"/>
        <w:jc w:val="both"/>
        <w:rPr>
          <w:lang w:val="en-US"/>
        </w:rPr>
      </w:pPr>
      <w:r w:rsidRPr="00361E6E">
        <w:rPr>
          <w:lang w:val="en-US"/>
        </w:rPr>
        <w:t xml:space="preserve">As for the granulometry, we have noticed a reduction in the percentages of the mesh refusal of 350 μm for the two treated phosphate (B) and (D) (Table </w:t>
      </w:r>
      <w:r w:rsidR="00CA5663">
        <w:rPr>
          <w:lang w:val="en-US"/>
        </w:rPr>
        <w:t>6</w:t>
      </w:r>
      <w:r w:rsidRPr="00361E6E">
        <w:rPr>
          <w:lang w:val="en-US"/>
        </w:rPr>
        <w:t>). This variation is due to the breaking of the coarse grains by the fast temperature raising within the particles, in the hot mixture, according to the dehydration and oxidation reactions of the organic matter and the carbonates decomposition which lead to the formation of water vapor and CO</w:t>
      </w:r>
      <w:r w:rsidRPr="00361E6E">
        <w:rPr>
          <w:vertAlign w:val="subscript"/>
          <w:lang w:val="en-US"/>
        </w:rPr>
        <w:t>2</w:t>
      </w:r>
      <w:r w:rsidRPr="00361E6E">
        <w:rPr>
          <w:lang w:val="en-US"/>
        </w:rPr>
        <w:t xml:space="preserve">. These volatile compounds create local overpressures causing cracking the reacting grains, a rapidity of their clearances and an increased porosity. Thus, the matrix becomes deformable under the influence of heat, and therefore, the granulometry effect is added. </w:t>
      </w:r>
    </w:p>
    <w:p w:rsidR="00055A97" w:rsidRPr="000409D4" w:rsidRDefault="00055A97" w:rsidP="00055A97">
      <w:pPr>
        <w:ind w:firstLine="284"/>
        <w:jc w:val="both"/>
        <w:rPr>
          <w:color w:val="0000FF"/>
          <w:lang w:val="en-US"/>
        </w:rPr>
      </w:pPr>
      <w:r w:rsidRPr="00361E6E">
        <w:rPr>
          <w:bCs/>
          <w:lang w:val="en-US"/>
        </w:rPr>
        <w:t xml:space="preserve">Previous works </w:t>
      </w:r>
      <w:r>
        <w:rPr>
          <w:bCs/>
          <w:lang w:val="en-US"/>
        </w:rPr>
        <w:t>[6; 24; 25; 26]</w:t>
      </w:r>
      <w:r w:rsidRPr="00361E6E">
        <w:rPr>
          <w:bCs/>
          <w:lang w:val="en-US"/>
        </w:rPr>
        <w:t xml:space="preserve"> have showed that the variation of the granulometric distribution improves physical properties especially the specific s</w:t>
      </w:r>
      <w:r w:rsidR="00CA5663">
        <w:rPr>
          <w:bCs/>
          <w:lang w:val="en-US"/>
        </w:rPr>
        <w:t>urface and the porosity (Table 7</w:t>
      </w:r>
      <w:r w:rsidRPr="00361E6E">
        <w:rPr>
          <w:bCs/>
          <w:lang w:val="en-US"/>
        </w:rPr>
        <w:t>). Therefore, from the extensive exhibition of the organic matter and carbonates outward results a large specific surface of the finished product by the decrease in the den</w:t>
      </w:r>
      <w:r w:rsidR="00CA5663">
        <w:rPr>
          <w:bCs/>
          <w:lang w:val="en-US"/>
        </w:rPr>
        <w:t>sity of the hot mixture (Table 8</w:t>
      </w:r>
      <w:r w:rsidRPr="00361E6E">
        <w:rPr>
          <w:bCs/>
          <w:lang w:val="en-US"/>
        </w:rPr>
        <w:t>).</w:t>
      </w:r>
      <w:r w:rsidRPr="00361E6E">
        <w:rPr>
          <w:lang w:val="en-US"/>
        </w:rPr>
        <w:t xml:space="preserve"> This limits the rate of sedimentation of the pulp phosphate or the reaction boils during the production of phosphoric acid. Moreover, the solubility of the crude phosphate increases with the decrease of the size of its particles</w:t>
      </w:r>
      <w:r>
        <w:rPr>
          <w:lang w:val="en-US"/>
        </w:rPr>
        <w:t xml:space="preserve"> [27; 28]</w:t>
      </w:r>
      <w:r w:rsidRPr="00361E6E">
        <w:rPr>
          <w:lang w:val="en-US"/>
        </w:rPr>
        <w:t>.</w:t>
      </w:r>
    </w:p>
    <w:p w:rsidR="00055A97" w:rsidRPr="00361E6E" w:rsidRDefault="00055A97" w:rsidP="00055A97">
      <w:pPr>
        <w:tabs>
          <w:tab w:val="left" w:pos="4320"/>
        </w:tabs>
        <w:autoSpaceDE w:val="0"/>
        <w:autoSpaceDN w:val="0"/>
        <w:adjustRightInd w:val="0"/>
        <w:ind w:firstLine="284"/>
        <w:jc w:val="both"/>
        <w:rPr>
          <w:bCs/>
          <w:lang w:val="en-US"/>
        </w:rPr>
      </w:pPr>
      <w:r w:rsidRPr="00361E6E">
        <w:rPr>
          <w:bCs/>
          <w:lang w:val="en-US"/>
        </w:rPr>
        <w:t>The results obtained in this study show that there's an interaction between the thermo-physical and chemical parameters. Therefore, obtaining a better quality product depends largely on this coupling. Hence, heat treatment for hot mixture appears as an appropriate process.</w:t>
      </w:r>
    </w:p>
    <w:p w:rsidR="00055A97" w:rsidRPr="00361E6E" w:rsidRDefault="00055A97" w:rsidP="00055A97">
      <w:pPr>
        <w:widowControl w:val="0"/>
        <w:tabs>
          <w:tab w:val="left" w:pos="4320"/>
        </w:tabs>
        <w:autoSpaceDE w:val="0"/>
        <w:autoSpaceDN w:val="0"/>
        <w:adjustRightInd w:val="0"/>
        <w:spacing w:before="120" w:after="120"/>
        <w:jc w:val="both"/>
        <w:rPr>
          <w:b/>
          <w:bCs/>
          <w:sz w:val="28"/>
          <w:szCs w:val="28"/>
          <w:lang w:val="en-GB"/>
        </w:rPr>
      </w:pPr>
      <w:r>
        <w:rPr>
          <w:b/>
          <w:bCs/>
          <w:sz w:val="28"/>
          <w:szCs w:val="28"/>
          <w:lang w:val="en-GB"/>
        </w:rPr>
        <w:t xml:space="preserve">7. </w:t>
      </w:r>
      <w:r w:rsidRPr="00361E6E">
        <w:rPr>
          <w:b/>
          <w:bCs/>
          <w:sz w:val="28"/>
          <w:szCs w:val="28"/>
          <w:lang w:val="en-GB"/>
        </w:rPr>
        <w:t>Conclusion</w:t>
      </w:r>
    </w:p>
    <w:p w:rsidR="00055A97" w:rsidRPr="00361E6E" w:rsidRDefault="00055A97" w:rsidP="00055A97">
      <w:pPr>
        <w:widowControl w:val="0"/>
        <w:tabs>
          <w:tab w:val="left" w:pos="4320"/>
        </w:tabs>
        <w:autoSpaceDE w:val="0"/>
        <w:autoSpaceDN w:val="0"/>
        <w:adjustRightInd w:val="0"/>
        <w:ind w:firstLine="284"/>
        <w:jc w:val="both"/>
        <w:rPr>
          <w:lang w:val="en-GB"/>
        </w:rPr>
      </w:pPr>
      <w:r w:rsidRPr="00361E6E">
        <w:rPr>
          <w:lang w:val="en-GB"/>
        </w:rPr>
        <w:t>In this work, we have been able to minimize the energy loss by recovering the lost energy during the cooling cycle of the calcined phosphate, and by using this energy for the calcination of the same crude phosphate.</w:t>
      </w:r>
    </w:p>
    <w:p w:rsidR="00055A97" w:rsidRPr="00361E6E" w:rsidRDefault="00055A97" w:rsidP="00055A97">
      <w:pPr>
        <w:widowControl w:val="0"/>
        <w:tabs>
          <w:tab w:val="left" w:pos="4320"/>
        </w:tabs>
        <w:autoSpaceDE w:val="0"/>
        <w:autoSpaceDN w:val="0"/>
        <w:adjustRightInd w:val="0"/>
        <w:ind w:firstLine="284"/>
        <w:jc w:val="both"/>
        <w:rPr>
          <w:lang w:val="en-GB"/>
        </w:rPr>
      </w:pPr>
      <w:r w:rsidRPr="00361E6E">
        <w:rPr>
          <w:lang w:val="en-GB"/>
        </w:rPr>
        <w:t xml:space="preserve">The </w:t>
      </w:r>
      <w:smartTag w:uri="urn:schemas-microsoft-com:office:smarttags" w:element="metricconverter">
        <w:smartTagPr>
          <w:attr w:name="ProductID" w:val="800ﾰC"/>
        </w:smartTagPr>
        <w:r w:rsidRPr="00361E6E">
          <w:rPr>
            <w:lang w:val="en-GB"/>
          </w:rPr>
          <w:t>800°C</w:t>
        </w:r>
      </w:smartTag>
      <w:r w:rsidRPr="00361E6E">
        <w:rPr>
          <w:lang w:val="en-GB"/>
        </w:rPr>
        <w:t xml:space="preserve"> temperature calcination and a time’s stay of 30 min permit to obtain a phosphate rich in P</w:t>
      </w:r>
      <w:r w:rsidRPr="00055A97">
        <w:rPr>
          <w:vertAlign w:val="subscript"/>
          <w:lang w:val="en-GB"/>
        </w:rPr>
        <w:t>2</w:t>
      </w:r>
      <w:r w:rsidRPr="00361E6E">
        <w:rPr>
          <w:lang w:val="en-GB"/>
        </w:rPr>
        <w:t>O</w:t>
      </w:r>
      <w:r w:rsidRPr="00055A97">
        <w:rPr>
          <w:vertAlign w:val="subscript"/>
          <w:lang w:val="en-GB"/>
        </w:rPr>
        <w:t>5</w:t>
      </w:r>
      <w:r w:rsidRPr="00361E6E">
        <w:rPr>
          <w:lang w:val="en-GB"/>
        </w:rPr>
        <w:t xml:space="preserve"> and CAD with very weak CO</w:t>
      </w:r>
      <w:r w:rsidRPr="00361E6E">
        <w:rPr>
          <w:vertAlign w:val="subscript"/>
          <w:lang w:val="en-GB"/>
        </w:rPr>
        <w:t>2</w:t>
      </w:r>
      <w:r w:rsidRPr="00361E6E">
        <w:rPr>
          <w:lang w:val="en-GB"/>
        </w:rPr>
        <w:t xml:space="preserve"> and Corg contents.</w:t>
      </w:r>
    </w:p>
    <w:p w:rsidR="00055A97" w:rsidRDefault="00055A97" w:rsidP="00055A97">
      <w:pPr>
        <w:widowControl w:val="0"/>
        <w:tabs>
          <w:tab w:val="left" w:pos="4320"/>
        </w:tabs>
        <w:autoSpaceDE w:val="0"/>
        <w:autoSpaceDN w:val="0"/>
        <w:adjustRightInd w:val="0"/>
        <w:ind w:firstLine="284"/>
        <w:jc w:val="both"/>
        <w:rPr>
          <w:lang w:val="en-GB"/>
        </w:rPr>
      </w:pPr>
      <w:r w:rsidRPr="00361E6E">
        <w:rPr>
          <w:lang w:val="en-GB"/>
        </w:rPr>
        <w:t>The comparison of the C</w:t>
      </w:r>
      <w:r w:rsidRPr="00361E6E">
        <w:rPr>
          <w:vertAlign w:val="subscript"/>
          <w:lang w:val="en-GB"/>
        </w:rPr>
        <w:t>org</w:t>
      </w:r>
      <w:r w:rsidRPr="00361E6E">
        <w:rPr>
          <w:lang w:val="en-GB"/>
        </w:rPr>
        <w:t>, CO</w:t>
      </w:r>
      <w:r w:rsidRPr="00361E6E">
        <w:rPr>
          <w:vertAlign w:val="subscript"/>
          <w:lang w:val="en-GB"/>
        </w:rPr>
        <w:t>2</w:t>
      </w:r>
      <w:r w:rsidRPr="00361E6E">
        <w:rPr>
          <w:lang w:val="en-GB"/>
        </w:rPr>
        <w:t>, P</w:t>
      </w:r>
      <w:r w:rsidRPr="00361E6E">
        <w:rPr>
          <w:vertAlign w:val="subscript"/>
          <w:lang w:val="en-GB"/>
        </w:rPr>
        <w:t>2</w:t>
      </w:r>
      <w:r w:rsidRPr="00361E6E">
        <w:rPr>
          <w:lang w:val="en-GB"/>
        </w:rPr>
        <w:t>O</w:t>
      </w:r>
      <w:r w:rsidRPr="00361E6E">
        <w:rPr>
          <w:vertAlign w:val="subscript"/>
          <w:lang w:val="en-GB"/>
        </w:rPr>
        <w:t>5</w:t>
      </w:r>
      <w:r w:rsidRPr="00361E6E">
        <w:rPr>
          <w:lang w:val="en-GB"/>
        </w:rPr>
        <w:t xml:space="preserve"> and CaO contents corresponding to the cold and hot phosphate mixtures with </w:t>
      </w:r>
      <w:r>
        <w:rPr>
          <w:lang w:val="en-GB"/>
        </w:rPr>
        <w:t>those of the calcined phosphate</w:t>
      </w:r>
      <w:r w:rsidRPr="00361E6E">
        <w:rPr>
          <w:lang w:val="en-GB"/>
        </w:rPr>
        <w:t xml:space="preserve"> allows us to advance that the addition of a quantity of crude phosphate 33%, at the beginning of the cooling cycle at </w:t>
      </w:r>
      <w:smartTag w:uri="urn:schemas-microsoft-com:office:smarttags" w:element="metricconverter">
        <w:smartTagPr>
          <w:attr w:name="ProductID" w:val="800ﾰC"/>
        </w:smartTagPr>
        <w:r w:rsidRPr="00361E6E">
          <w:rPr>
            <w:lang w:val="en-GB"/>
          </w:rPr>
          <w:t>800°C</w:t>
        </w:r>
      </w:smartTag>
      <w:r w:rsidRPr="00361E6E">
        <w:rPr>
          <w:lang w:val="en-GB"/>
        </w:rPr>
        <w:t>, provides a concentrate of phosphate of a better quality. Therefore, this process ha</w:t>
      </w:r>
      <w:r>
        <w:rPr>
          <w:lang w:val="en-GB"/>
        </w:rPr>
        <w:t>s</w:t>
      </w:r>
      <w:r w:rsidRPr="00361E6E">
        <w:rPr>
          <w:lang w:val="en-GB"/>
        </w:rPr>
        <w:t xml:space="preserve"> a certain outcome on the energy saving and an increase in the productivity of a concentrate of phosphate of a better quality.</w:t>
      </w:r>
    </w:p>
    <w:p w:rsidR="00166A16" w:rsidRPr="00E95F4C" w:rsidRDefault="00166A16" w:rsidP="00166A16">
      <w:pPr>
        <w:ind w:firstLine="284"/>
        <w:jc w:val="both"/>
        <w:rPr>
          <w:color w:val="FF0000"/>
          <w:lang w:val="en-US"/>
        </w:rPr>
      </w:pPr>
      <w:r w:rsidRPr="00E95F4C">
        <w:rPr>
          <w:color w:val="FF0000"/>
          <w:lang w:val="en-US"/>
        </w:rPr>
        <w:t>The extrapolation on an industrial scale of this protocol is possible by combining the two operations of drying and calcination existing. The process of heat treatment of hot mixtures will be based in a fluidized bed followed by a mixing rotary form.</w:t>
      </w:r>
    </w:p>
    <w:p w:rsidR="00055A97" w:rsidRPr="00AF3ED3" w:rsidRDefault="00055A97" w:rsidP="00055A97">
      <w:pPr>
        <w:widowControl w:val="0"/>
        <w:tabs>
          <w:tab w:val="left" w:pos="4320"/>
        </w:tabs>
        <w:autoSpaceDE w:val="0"/>
        <w:autoSpaceDN w:val="0"/>
        <w:adjustRightInd w:val="0"/>
        <w:spacing w:before="120" w:after="120"/>
        <w:jc w:val="both"/>
        <w:rPr>
          <w:b/>
          <w:bCs/>
          <w:sz w:val="28"/>
          <w:szCs w:val="28"/>
          <w:lang w:val="en-US"/>
        </w:rPr>
      </w:pPr>
      <w:r w:rsidRPr="00AF3ED3">
        <w:rPr>
          <w:b/>
          <w:bCs/>
          <w:sz w:val="28"/>
          <w:szCs w:val="28"/>
          <w:lang w:val="en-US"/>
        </w:rPr>
        <w:t>8.</w:t>
      </w:r>
      <w:r>
        <w:rPr>
          <w:b/>
          <w:bCs/>
          <w:sz w:val="28"/>
          <w:szCs w:val="28"/>
          <w:lang w:val="en-US"/>
        </w:rPr>
        <w:t xml:space="preserve"> </w:t>
      </w:r>
      <w:r w:rsidRPr="00AF3ED3">
        <w:rPr>
          <w:b/>
          <w:bCs/>
          <w:sz w:val="28"/>
          <w:szCs w:val="28"/>
          <w:lang w:val="en-US"/>
        </w:rPr>
        <w:t>References</w:t>
      </w:r>
    </w:p>
    <w:p w:rsidR="00055A97" w:rsidRDefault="00055A97" w:rsidP="00055A97">
      <w:pPr>
        <w:tabs>
          <w:tab w:val="left" w:pos="4320"/>
        </w:tabs>
        <w:ind w:firstLine="284"/>
        <w:jc w:val="both"/>
        <w:rPr>
          <w:lang w:val="en-US"/>
        </w:rPr>
      </w:pPr>
      <w:r>
        <w:rPr>
          <w:lang w:val="en-US"/>
        </w:rPr>
        <w:t>[1] S. Cooper,</w:t>
      </w:r>
      <w:r w:rsidRPr="00AB6B44">
        <w:rPr>
          <w:lang w:val="en-US"/>
        </w:rPr>
        <w:t xml:space="preserve"> C.</w:t>
      </w:r>
      <w:r>
        <w:rPr>
          <w:lang w:val="en-US"/>
        </w:rPr>
        <w:t xml:space="preserve"> </w:t>
      </w:r>
      <w:r w:rsidRPr="00AB6B44">
        <w:rPr>
          <w:lang w:val="en-US"/>
        </w:rPr>
        <w:t>J.</w:t>
      </w:r>
      <w:r>
        <w:rPr>
          <w:lang w:val="en-US"/>
        </w:rPr>
        <w:t xml:space="preserve"> Coronella</w:t>
      </w:r>
      <w:r w:rsidRPr="00AB6B44">
        <w:rPr>
          <w:lang w:val="en-US"/>
        </w:rPr>
        <w:t>,</w:t>
      </w:r>
      <w:r w:rsidRPr="00AB6B44">
        <w:rPr>
          <w:color w:val="000000"/>
          <w:lang w:val="en-US"/>
        </w:rPr>
        <w:t xml:space="preserve"> CFD simulations of particle mixing in a binary fluidized bed,</w:t>
      </w:r>
      <w:r w:rsidRPr="00AB6B44">
        <w:rPr>
          <w:lang w:val="en-US"/>
        </w:rPr>
        <w:t xml:space="preserve"> Powder Technology </w:t>
      </w:r>
      <w:r w:rsidRPr="00AF3ED3">
        <w:rPr>
          <w:lang w:val="en-US"/>
        </w:rPr>
        <w:t>151</w:t>
      </w:r>
      <w:r w:rsidRPr="00AB6B44">
        <w:rPr>
          <w:lang w:val="en-US"/>
        </w:rPr>
        <w:t>: 1-3 (2005)</w:t>
      </w:r>
      <w:r>
        <w:rPr>
          <w:lang w:val="en-US"/>
        </w:rPr>
        <w:t xml:space="preserve"> </w:t>
      </w:r>
      <w:r w:rsidRPr="00AB6B44">
        <w:rPr>
          <w:lang w:val="en-US"/>
        </w:rPr>
        <w:t>27 – 36.</w:t>
      </w:r>
    </w:p>
    <w:p w:rsidR="00055A97" w:rsidRDefault="00055A97" w:rsidP="00055A97">
      <w:pPr>
        <w:autoSpaceDE w:val="0"/>
        <w:autoSpaceDN w:val="0"/>
        <w:adjustRightInd w:val="0"/>
        <w:ind w:firstLine="284"/>
        <w:jc w:val="both"/>
        <w:rPr>
          <w:lang w:val="en-US"/>
        </w:rPr>
      </w:pPr>
      <w:r>
        <w:rPr>
          <w:lang w:val="en-US"/>
        </w:rPr>
        <w:t xml:space="preserve">[2] </w:t>
      </w:r>
      <w:r w:rsidRPr="00ED4C64">
        <w:rPr>
          <w:lang w:val="en-US"/>
        </w:rPr>
        <w:t>L.</w:t>
      </w:r>
      <w:r w:rsidR="00371760">
        <w:rPr>
          <w:lang w:val="en-US"/>
        </w:rPr>
        <w:t xml:space="preserve"> </w:t>
      </w:r>
      <w:r>
        <w:rPr>
          <w:lang w:val="en-US"/>
        </w:rPr>
        <w:t>Bilali</w:t>
      </w:r>
      <w:r w:rsidRPr="00ED4C64">
        <w:rPr>
          <w:lang w:val="en-US"/>
        </w:rPr>
        <w:t>, M.</w:t>
      </w:r>
      <w:r>
        <w:rPr>
          <w:lang w:val="en-US"/>
        </w:rPr>
        <w:t xml:space="preserve"> </w:t>
      </w:r>
      <w:r w:rsidRPr="00ED4C64">
        <w:rPr>
          <w:lang w:val="en-US"/>
        </w:rPr>
        <w:t>Benchanaa, K. El harfi, A.</w:t>
      </w:r>
      <w:r>
        <w:rPr>
          <w:lang w:val="en-US"/>
        </w:rPr>
        <w:t xml:space="preserve"> Mokhlisse, </w:t>
      </w:r>
      <w:r w:rsidRPr="00ED4C64">
        <w:rPr>
          <w:lang w:val="en-US"/>
        </w:rPr>
        <w:t>A.</w:t>
      </w:r>
      <w:r>
        <w:rPr>
          <w:lang w:val="en-US"/>
        </w:rPr>
        <w:t xml:space="preserve"> Outzourhit,</w:t>
      </w:r>
      <w:r w:rsidRPr="00ED4C64">
        <w:rPr>
          <w:lang w:val="en-US"/>
        </w:rPr>
        <w:t xml:space="preserve"> </w:t>
      </w:r>
      <w:r>
        <w:rPr>
          <w:lang w:val="en-US"/>
        </w:rPr>
        <w:t>“</w:t>
      </w:r>
      <w:r w:rsidRPr="00ED4C64">
        <w:rPr>
          <w:lang w:val="en-US"/>
        </w:rPr>
        <w:t>A detailed</w:t>
      </w:r>
      <w:r>
        <w:rPr>
          <w:lang w:val="en-US"/>
        </w:rPr>
        <w:t xml:space="preserve"> </w:t>
      </w:r>
      <w:r w:rsidRPr="00ED4C64">
        <w:rPr>
          <w:lang w:val="en-US"/>
        </w:rPr>
        <w:t>study of the microwave pyrolysis of the Moroccan (Youssoufia) rock phosphate</w:t>
      </w:r>
      <w:r>
        <w:rPr>
          <w:lang w:val="en-US"/>
        </w:rPr>
        <w:t>”</w:t>
      </w:r>
      <w:r w:rsidRPr="00ED4C64">
        <w:rPr>
          <w:lang w:val="en-US"/>
        </w:rPr>
        <w:t>.</w:t>
      </w:r>
      <w:r>
        <w:rPr>
          <w:lang w:val="en-US"/>
        </w:rPr>
        <w:t xml:space="preserve"> J. Anal. Appl. Pyrol. 73 (</w:t>
      </w:r>
      <w:r w:rsidRPr="00ED4C64">
        <w:rPr>
          <w:lang w:val="en-US"/>
        </w:rPr>
        <w:t>2005</w:t>
      </w:r>
      <w:r>
        <w:rPr>
          <w:lang w:val="en-US"/>
        </w:rPr>
        <w:t>)</w:t>
      </w:r>
      <w:r w:rsidRPr="00A5558A">
        <w:rPr>
          <w:lang w:val="en-US"/>
        </w:rPr>
        <w:t xml:space="preserve"> 1–15.</w:t>
      </w:r>
    </w:p>
    <w:p w:rsidR="00055A97" w:rsidRPr="00997BC5" w:rsidRDefault="00055A97" w:rsidP="00055A97">
      <w:pPr>
        <w:tabs>
          <w:tab w:val="left" w:pos="4320"/>
        </w:tabs>
        <w:ind w:firstLine="284"/>
        <w:jc w:val="both"/>
        <w:rPr>
          <w:lang w:val="en-US"/>
        </w:rPr>
      </w:pPr>
      <w:r>
        <w:rPr>
          <w:lang w:val="en-US"/>
        </w:rPr>
        <w:t xml:space="preserve">[3] </w:t>
      </w:r>
      <w:r w:rsidRPr="00997BC5">
        <w:rPr>
          <w:lang w:val="en-US"/>
        </w:rPr>
        <w:t>J.</w:t>
      </w:r>
      <w:r>
        <w:rPr>
          <w:lang w:val="en-US"/>
        </w:rPr>
        <w:t xml:space="preserve"> Ramaroson</w:t>
      </w:r>
      <w:r w:rsidRPr="00997BC5">
        <w:rPr>
          <w:lang w:val="en-US"/>
        </w:rPr>
        <w:t>, “calcination of contaminated dredged sediments. study of chemicals and physicals properties” thes</w:t>
      </w:r>
      <w:r>
        <w:rPr>
          <w:lang w:val="en-US"/>
        </w:rPr>
        <w:t>is</w:t>
      </w:r>
      <w:r w:rsidRPr="00997BC5">
        <w:rPr>
          <w:lang w:val="en-US"/>
        </w:rPr>
        <w:t xml:space="preserve"> of Lyon INS</w:t>
      </w:r>
      <w:r>
        <w:rPr>
          <w:lang w:val="en-US"/>
        </w:rPr>
        <w:t>A</w:t>
      </w:r>
      <w:r w:rsidRPr="00997BC5">
        <w:rPr>
          <w:lang w:val="en-US"/>
        </w:rPr>
        <w:t xml:space="preserve"> (2008).</w:t>
      </w:r>
    </w:p>
    <w:p w:rsidR="00055A97" w:rsidRDefault="00055A97" w:rsidP="00055A97">
      <w:pPr>
        <w:tabs>
          <w:tab w:val="left" w:pos="1440"/>
        </w:tabs>
        <w:autoSpaceDE w:val="0"/>
        <w:autoSpaceDN w:val="0"/>
        <w:adjustRightInd w:val="0"/>
        <w:ind w:firstLine="284"/>
        <w:jc w:val="both"/>
        <w:rPr>
          <w:lang w:val="en-US"/>
        </w:rPr>
      </w:pPr>
      <w:r>
        <w:rPr>
          <w:lang w:val="en-US"/>
        </w:rPr>
        <w:t xml:space="preserve">[4] </w:t>
      </w:r>
      <w:r w:rsidRPr="005126AC">
        <w:rPr>
          <w:lang w:val="en-US"/>
        </w:rPr>
        <w:t>M.</w:t>
      </w:r>
      <w:r>
        <w:rPr>
          <w:lang w:val="en-US"/>
        </w:rPr>
        <w:t xml:space="preserve"> El Ouardi</w:t>
      </w:r>
      <w:r w:rsidRPr="005126AC">
        <w:rPr>
          <w:lang w:val="en-US"/>
        </w:rPr>
        <w:t xml:space="preserve">, </w:t>
      </w:r>
      <w:r>
        <w:rPr>
          <w:lang w:val="en-US"/>
        </w:rPr>
        <w:t>“</w:t>
      </w:r>
      <w:r w:rsidRPr="005126AC">
        <w:rPr>
          <w:lang w:val="en-GB"/>
        </w:rPr>
        <w:t>Study of the calcination of phosphates clear of Youssoufia (</w:t>
      </w:r>
      <w:smartTag w:uri="urn:schemas-microsoft-com:office:smarttags" w:element="place">
        <w:smartTag w:uri="urn:schemas-microsoft-com:office:smarttags" w:element="country-region">
          <w:r w:rsidRPr="005126AC">
            <w:rPr>
              <w:lang w:val="en-GB"/>
            </w:rPr>
            <w:t>Morocco</w:t>
          </w:r>
        </w:smartTag>
      </w:smartTag>
      <w:r w:rsidRPr="005126AC">
        <w:rPr>
          <w:lang w:val="en-GB"/>
        </w:rPr>
        <w:t>)</w:t>
      </w:r>
      <w:r>
        <w:rPr>
          <w:lang w:val="en-GB"/>
        </w:rPr>
        <w:t xml:space="preserve">” African SCIENCE: international journal of Science and Technology, </w:t>
      </w:r>
      <w:r w:rsidRPr="005126AC">
        <w:rPr>
          <w:lang w:val="en-US"/>
        </w:rPr>
        <w:t>04 (2) (2008)</w:t>
      </w:r>
      <w:r>
        <w:rPr>
          <w:lang w:val="en-US"/>
        </w:rPr>
        <w:t xml:space="preserve"> </w:t>
      </w:r>
      <w:r w:rsidRPr="005126AC">
        <w:rPr>
          <w:lang w:val="en-US"/>
        </w:rPr>
        <w:t>199 – 211.</w:t>
      </w:r>
    </w:p>
    <w:p w:rsidR="00055A97" w:rsidRDefault="00055A97" w:rsidP="00055A97">
      <w:pPr>
        <w:tabs>
          <w:tab w:val="left" w:pos="4320"/>
        </w:tabs>
        <w:autoSpaceDE w:val="0"/>
        <w:autoSpaceDN w:val="0"/>
        <w:adjustRightInd w:val="0"/>
        <w:ind w:firstLine="284"/>
        <w:jc w:val="both"/>
        <w:rPr>
          <w:lang w:val="en-US"/>
        </w:rPr>
      </w:pPr>
      <w:r>
        <w:rPr>
          <w:lang w:val="en-US"/>
        </w:rPr>
        <w:t xml:space="preserve">[5] </w:t>
      </w:r>
      <w:r w:rsidRPr="00611183">
        <w:rPr>
          <w:lang w:val="en-US"/>
        </w:rPr>
        <w:t>A. K.</w:t>
      </w:r>
      <w:r>
        <w:rPr>
          <w:lang w:val="en-US"/>
        </w:rPr>
        <w:t xml:space="preserve"> Özer</w:t>
      </w:r>
      <w:r w:rsidRPr="00611183">
        <w:rPr>
          <w:lang w:val="en-US"/>
        </w:rPr>
        <w:t xml:space="preserve">, M. Ş. Gülaboģlu and </w:t>
      </w:r>
      <w:r w:rsidRPr="009418CD">
        <w:rPr>
          <w:lang w:val="en-US"/>
        </w:rPr>
        <w:t>W.</w:t>
      </w:r>
      <w:r>
        <w:rPr>
          <w:lang w:val="en-US"/>
        </w:rPr>
        <w:t xml:space="preserve"> Weisweiler</w:t>
      </w:r>
      <w:r w:rsidRPr="009418CD">
        <w:rPr>
          <w:lang w:val="en-US"/>
        </w:rPr>
        <w:t xml:space="preserve">, </w:t>
      </w:r>
      <w:r>
        <w:rPr>
          <w:lang w:val="en-US"/>
        </w:rPr>
        <w:t>“</w:t>
      </w:r>
      <w:hyperlink r:id="rId36" w:tooltip="Flue gas desulfurization with phosphate rock in a fluidized bed" w:history="1">
        <w:r w:rsidRPr="009418CD">
          <w:rPr>
            <w:lang w:val="en"/>
          </w:rPr>
          <w:t>Flue gas desulfurization with phosphate rock in a fluidized bed</w:t>
        </w:r>
      </w:hyperlink>
      <w:r>
        <w:rPr>
          <w:lang w:val="en"/>
        </w:rPr>
        <w:t>”</w:t>
      </w:r>
      <w:r w:rsidRPr="009418CD">
        <w:rPr>
          <w:lang w:val="en-US"/>
        </w:rPr>
        <w:t xml:space="preserve"> Fuel 81 (2002)</w:t>
      </w:r>
      <w:r>
        <w:rPr>
          <w:lang w:val="en-US"/>
        </w:rPr>
        <w:t xml:space="preserve"> </w:t>
      </w:r>
      <w:r w:rsidRPr="009418CD">
        <w:rPr>
          <w:lang w:val="en-US"/>
        </w:rPr>
        <w:t>41- 49.</w:t>
      </w:r>
    </w:p>
    <w:p w:rsidR="00055A97" w:rsidRPr="0001541B" w:rsidRDefault="00055A97" w:rsidP="00055A97">
      <w:pPr>
        <w:tabs>
          <w:tab w:val="left" w:pos="4320"/>
        </w:tabs>
        <w:ind w:firstLine="284"/>
        <w:jc w:val="both"/>
        <w:rPr>
          <w:lang w:val="en-US"/>
        </w:rPr>
      </w:pPr>
      <w:r>
        <w:rPr>
          <w:lang w:val="en-US"/>
        </w:rPr>
        <w:t>[6] S. Kribi,</w:t>
      </w:r>
      <w:r w:rsidRPr="0001541B">
        <w:rPr>
          <w:lang w:val="en-US"/>
        </w:rPr>
        <w:t xml:space="preserve"> ″ the organic matter decomposition and stabilization of heavy metals in dredged sidéments″ th</w:t>
      </w:r>
      <w:r>
        <w:rPr>
          <w:lang w:val="en-US"/>
        </w:rPr>
        <w:t>esis</w:t>
      </w:r>
      <w:r w:rsidRPr="0001541B">
        <w:rPr>
          <w:lang w:val="en-US"/>
        </w:rPr>
        <w:t xml:space="preserve"> of Lyon INSA (2005).</w:t>
      </w:r>
    </w:p>
    <w:p w:rsidR="00055A97" w:rsidRPr="003E5994" w:rsidRDefault="00055A97" w:rsidP="00055A97">
      <w:pPr>
        <w:tabs>
          <w:tab w:val="left" w:pos="426"/>
          <w:tab w:val="left" w:pos="540"/>
          <w:tab w:val="center" w:pos="4536"/>
          <w:tab w:val="right" w:pos="9214"/>
          <w:tab w:val="right" w:pos="9356"/>
        </w:tabs>
        <w:ind w:firstLine="284"/>
        <w:jc w:val="both"/>
        <w:rPr>
          <w:iCs/>
          <w:lang w:val="en-US"/>
        </w:rPr>
      </w:pPr>
      <w:r>
        <w:rPr>
          <w:lang w:val="en-US"/>
        </w:rPr>
        <w:t xml:space="preserve">[7] </w:t>
      </w:r>
      <w:r w:rsidRPr="00611183">
        <w:rPr>
          <w:lang w:val="en-US"/>
        </w:rPr>
        <w:t>M.</w:t>
      </w:r>
      <w:r>
        <w:rPr>
          <w:lang w:val="en-US"/>
        </w:rPr>
        <w:t xml:space="preserve"> El Ouardi</w:t>
      </w:r>
      <w:r w:rsidRPr="00611183">
        <w:rPr>
          <w:lang w:val="en-US"/>
        </w:rPr>
        <w:t xml:space="preserve">, L. Saadi., M. Waqif., H. Chehouani., </w:t>
      </w:r>
      <w:smartTag w:uri="urn:schemas-microsoft-com:office:smarttags" w:element="place">
        <w:r w:rsidRPr="00611183">
          <w:rPr>
            <w:lang w:val="en-US"/>
          </w:rPr>
          <w:t>I.</w:t>
        </w:r>
      </w:smartTag>
      <w:r w:rsidRPr="00611183">
        <w:rPr>
          <w:lang w:val="en-US"/>
        </w:rPr>
        <w:t xml:space="preserve"> </w:t>
      </w:r>
      <w:r>
        <w:rPr>
          <w:lang w:val="en-US"/>
        </w:rPr>
        <w:t>Mrani</w:t>
      </w:r>
      <w:r w:rsidRPr="00611183">
        <w:rPr>
          <w:lang w:val="en-US"/>
        </w:rPr>
        <w:t>, M.</w:t>
      </w:r>
      <w:r>
        <w:rPr>
          <w:lang w:val="en-US"/>
        </w:rPr>
        <w:t>Anoua,</w:t>
      </w:r>
      <w:r w:rsidRPr="00611183">
        <w:rPr>
          <w:lang w:val="en-US"/>
        </w:rPr>
        <w:t xml:space="preserve"> </w:t>
      </w:r>
      <w:r w:rsidRPr="00611183">
        <w:rPr>
          <w:rStyle w:val="lev"/>
          <w:b w:val="0"/>
          <w:bCs w:val="0"/>
          <w:lang w:val="en-US"/>
        </w:rPr>
        <w:t>A.</w:t>
      </w:r>
      <w:r>
        <w:rPr>
          <w:rStyle w:val="lev"/>
          <w:b w:val="0"/>
          <w:bCs w:val="0"/>
          <w:lang w:val="en-US"/>
        </w:rPr>
        <w:t xml:space="preserve"> </w:t>
      </w:r>
      <w:r w:rsidRPr="00611183">
        <w:rPr>
          <w:rStyle w:val="lev"/>
          <w:b w:val="0"/>
          <w:bCs w:val="0"/>
          <w:lang w:val="en-US"/>
        </w:rPr>
        <w:t>Noubhani</w:t>
      </w:r>
      <w:r>
        <w:rPr>
          <w:rStyle w:val="lev"/>
          <w:b w:val="0"/>
          <w:bCs w:val="0"/>
          <w:lang w:val="en-US"/>
        </w:rPr>
        <w:t>,</w:t>
      </w:r>
      <w:r w:rsidRPr="00A746BB">
        <w:rPr>
          <w:rStyle w:val="lev"/>
          <w:b w:val="0"/>
          <w:bCs w:val="0"/>
          <w:lang w:val="en-US"/>
        </w:rPr>
        <w:t xml:space="preserve"> “</w:t>
      </w:r>
      <w:r w:rsidRPr="00CF5AAA">
        <w:rPr>
          <w:lang w:val="en-US"/>
        </w:rPr>
        <w:t>Characterization of the bouchane phosphate (morocco) and study of the evolution of the main control elements of its calcination</w:t>
      </w:r>
      <w:r>
        <w:rPr>
          <w:lang w:val="en-US"/>
        </w:rPr>
        <w:t xml:space="preserve">” </w:t>
      </w:r>
      <w:r w:rsidRPr="00A746BB">
        <w:rPr>
          <w:b/>
          <w:bCs/>
          <w:lang w:val="en-US"/>
        </w:rPr>
        <w:t xml:space="preserve"> </w:t>
      </w:r>
      <w:r w:rsidRPr="00A746BB">
        <w:rPr>
          <w:iCs/>
          <w:lang w:val="en-US"/>
        </w:rPr>
        <w:t xml:space="preserve">Phys. </w:t>
      </w:r>
      <w:r w:rsidRPr="003E5994">
        <w:rPr>
          <w:iCs/>
          <w:lang w:val="en-US"/>
        </w:rPr>
        <w:t>Chem. News 54 (2010) 68 - 75.</w:t>
      </w:r>
    </w:p>
    <w:p w:rsidR="00055A97" w:rsidRDefault="00055A97" w:rsidP="00055A97">
      <w:pPr>
        <w:tabs>
          <w:tab w:val="left" w:pos="540"/>
          <w:tab w:val="left" w:pos="4320"/>
        </w:tabs>
        <w:ind w:firstLine="284"/>
        <w:jc w:val="both"/>
        <w:rPr>
          <w:lang w:val="en-GB"/>
        </w:rPr>
      </w:pPr>
      <w:r>
        <w:rPr>
          <w:lang w:val="en-US"/>
        </w:rPr>
        <w:t xml:space="preserve">[8] </w:t>
      </w:r>
      <w:r w:rsidRPr="00AE452A">
        <w:rPr>
          <w:lang w:val="en-US"/>
        </w:rPr>
        <w:t>L.</w:t>
      </w:r>
      <w:r>
        <w:rPr>
          <w:lang w:val="en-US"/>
        </w:rPr>
        <w:t xml:space="preserve"> Bilali</w:t>
      </w:r>
      <w:r w:rsidRPr="00AE452A">
        <w:rPr>
          <w:lang w:val="en-US"/>
        </w:rPr>
        <w:t xml:space="preserve">, M. BenChanaa, </w:t>
      </w:r>
      <w:r w:rsidRPr="00361E6E">
        <w:rPr>
          <w:lang w:val="en-US"/>
        </w:rPr>
        <w:t>A.</w:t>
      </w:r>
      <w:r>
        <w:rPr>
          <w:lang w:val="en-US"/>
        </w:rPr>
        <w:t xml:space="preserve"> Mokhlisse</w:t>
      </w:r>
      <w:r w:rsidRPr="00361E6E">
        <w:rPr>
          <w:lang w:val="en-US"/>
        </w:rPr>
        <w:t xml:space="preserve">, </w:t>
      </w:r>
      <w:r>
        <w:rPr>
          <w:lang w:val="en-US"/>
        </w:rPr>
        <w:t xml:space="preserve">“Drying phenomenon of Moroccan naturel phosphates under microwave irradiation. Part I: Thermal and kinetic aspects”. </w:t>
      </w:r>
      <w:r w:rsidRPr="00361E6E">
        <w:rPr>
          <w:lang w:val="en-US"/>
        </w:rPr>
        <w:t>J. Electromagnetic and Microwave Power, 37 (3)</w:t>
      </w:r>
      <w:r>
        <w:rPr>
          <w:lang w:val="en-US"/>
        </w:rPr>
        <w:t xml:space="preserve"> </w:t>
      </w:r>
      <w:r w:rsidRPr="00361E6E">
        <w:rPr>
          <w:lang w:val="en-US"/>
        </w:rPr>
        <w:t xml:space="preserve">(2002) </w:t>
      </w:r>
      <w:r w:rsidRPr="00361E6E">
        <w:rPr>
          <w:lang w:val="en-GB"/>
        </w:rPr>
        <w:t>145-166.</w:t>
      </w:r>
    </w:p>
    <w:p w:rsidR="00055A97" w:rsidRDefault="00055A97" w:rsidP="00055A97">
      <w:pPr>
        <w:tabs>
          <w:tab w:val="left" w:pos="4320"/>
        </w:tabs>
        <w:ind w:firstLine="284"/>
        <w:jc w:val="both"/>
        <w:rPr>
          <w:lang w:val="en-GB"/>
        </w:rPr>
      </w:pPr>
      <w:r>
        <w:rPr>
          <w:lang w:val="en-US"/>
        </w:rPr>
        <w:t xml:space="preserve">[9] </w:t>
      </w:r>
      <w:r w:rsidRPr="00361E6E">
        <w:rPr>
          <w:lang w:val="en-GB"/>
        </w:rPr>
        <w:t>M.</w:t>
      </w:r>
      <w:r>
        <w:rPr>
          <w:lang w:val="en-GB"/>
        </w:rPr>
        <w:t xml:space="preserve"> </w:t>
      </w:r>
      <w:r>
        <w:rPr>
          <w:lang w:val="en-US"/>
        </w:rPr>
        <w:t>Khaddor</w:t>
      </w:r>
      <w:r w:rsidRPr="00361E6E">
        <w:rPr>
          <w:lang w:val="en-GB"/>
        </w:rPr>
        <w:t>, M.</w:t>
      </w:r>
      <w:r>
        <w:rPr>
          <w:lang w:val="en-GB"/>
        </w:rPr>
        <w:t xml:space="preserve"> Ziyad</w:t>
      </w:r>
      <w:r w:rsidRPr="00361E6E">
        <w:rPr>
          <w:lang w:val="en-GB"/>
        </w:rPr>
        <w:t>, J</w:t>
      </w:r>
      <w:r>
        <w:rPr>
          <w:lang w:val="en-GB"/>
        </w:rPr>
        <w:t>.</w:t>
      </w:r>
      <w:r w:rsidRPr="00361E6E">
        <w:rPr>
          <w:lang w:val="en-GB"/>
        </w:rPr>
        <w:t xml:space="preserve"> </w:t>
      </w:r>
      <w:r>
        <w:rPr>
          <w:lang w:val="en-GB"/>
        </w:rPr>
        <w:t>Joffre and</w:t>
      </w:r>
      <w:r w:rsidRPr="00361E6E">
        <w:rPr>
          <w:lang w:val="en-GB"/>
        </w:rPr>
        <w:t xml:space="preserve"> A.</w:t>
      </w:r>
      <w:r>
        <w:rPr>
          <w:lang w:val="en-GB"/>
        </w:rPr>
        <w:t xml:space="preserve"> </w:t>
      </w:r>
      <w:r w:rsidRPr="00361E6E">
        <w:rPr>
          <w:lang w:val="en-GB"/>
        </w:rPr>
        <w:t xml:space="preserve">Amblés, </w:t>
      </w:r>
      <w:r>
        <w:rPr>
          <w:lang w:val="en-GB"/>
        </w:rPr>
        <w:t>“</w:t>
      </w:r>
      <w:r>
        <w:rPr>
          <w:lang w:val="en-US"/>
        </w:rPr>
        <w:t>Pyrolysis,</w:t>
      </w:r>
      <w:r w:rsidRPr="00C01948">
        <w:rPr>
          <w:lang w:val="en-US"/>
        </w:rPr>
        <w:t xml:space="preserve"> characterization of the kerogen from the Moroccan Youssoufia rock phosphate</w:t>
      </w:r>
      <w:r>
        <w:rPr>
          <w:lang w:val="en-US"/>
        </w:rPr>
        <w:t>”</w:t>
      </w:r>
      <w:r w:rsidRPr="00C01948">
        <w:rPr>
          <w:lang w:val="en-US"/>
        </w:rPr>
        <w:t xml:space="preserve"> </w:t>
      </w:r>
      <w:r w:rsidRPr="00361E6E">
        <w:rPr>
          <w:lang w:val="en-GB"/>
        </w:rPr>
        <w:t>Chem</w:t>
      </w:r>
      <w:r>
        <w:rPr>
          <w:lang w:val="en-GB"/>
        </w:rPr>
        <w:t>.</w:t>
      </w:r>
      <w:r w:rsidRPr="00361E6E">
        <w:rPr>
          <w:lang w:val="en-GB"/>
        </w:rPr>
        <w:t xml:space="preserve"> Geol, 186</w:t>
      </w:r>
      <w:r>
        <w:rPr>
          <w:lang w:val="en-GB"/>
        </w:rPr>
        <w:t xml:space="preserve"> </w:t>
      </w:r>
      <w:r w:rsidRPr="00361E6E">
        <w:rPr>
          <w:lang w:val="en-GB"/>
        </w:rPr>
        <w:t>(2002) 17-30.</w:t>
      </w:r>
    </w:p>
    <w:p w:rsidR="00055A97" w:rsidRPr="00677E8A" w:rsidRDefault="00055A97" w:rsidP="00055A97">
      <w:pPr>
        <w:shd w:val="clear" w:color="auto" w:fill="FFFFFF"/>
        <w:ind w:firstLine="284"/>
        <w:jc w:val="both"/>
        <w:rPr>
          <w:lang w:val="en-US"/>
        </w:rPr>
      </w:pPr>
      <w:r>
        <w:rPr>
          <w:lang w:val="en-US"/>
        </w:rPr>
        <w:t xml:space="preserve">[10] </w:t>
      </w:r>
      <w:r w:rsidRPr="00AE452A">
        <w:rPr>
          <w:lang w:val="en-US"/>
        </w:rPr>
        <w:t>L.</w:t>
      </w:r>
      <w:r>
        <w:rPr>
          <w:lang w:val="en-US"/>
        </w:rPr>
        <w:t xml:space="preserve"> Bilali</w:t>
      </w:r>
      <w:r w:rsidRPr="00AE452A">
        <w:rPr>
          <w:lang w:val="en-US"/>
        </w:rPr>
        <w:t xml:space="preserve">, </w:t>
      </w:r>
      <w:r>
        <w:rPr>
          <w:lang w:val="en-US"/>
        </w:rPr>
        <w:t>M.</w:t>
      </w:r>
      <w:r w:rsidRPr="00AE452A">
        <w:rPr>
          <w:lang w:val="en-US"/>
        </w:rPr>
        <w:t xml:space="preserve"> Benchanaa</w:t>
      </w:r>
      <w:r>
        <w:rPr>
          <w:lang w:val="en-US"/>
        </w:rPr>
        <w:t>,</w:t>
      </w:r>
      <w:r w:rsidRPr="00AE452A">
        <w:rPr>
          <w:lang w:val="en-US"/>
        </w:rPr>
        <w:t xml:space="preserve"> </w:t>
      </w:r>
      <w:r w:rsidRPr="00677E8A">
        <w:rPr>
          <w:lang w:val="en-US"/>
        </w:rPr>
        <w:t>A</w:t>
      </w:r>
      <w:r>
        <w:rPr>
          <w:lang w:val="en-US"/>
        </w:rPr>
        <w:t>.Mokhlisse</w:t>
      </w:r>
      <w:r w:rsidRPr="00677E8A">
        <w:rPr>
          <w:lang w:val="en-US"/>
        </w:rPr>
        <w:t>, Thermodynamic aspects of the system water - natural phosphates: Thermal behaviour, absorption and desorption isotherms</w:t>
      </w:r>
      <w:r>
        <w:rPr>
          <w:lang w:val="en-US"/>
        </w:rPr>
        <w:t xml:space="preserve"> </w:t>
      </w:r>
      <w:r w:rsidRPr="00677E8A">
        <w:rPr>
          <w:lang w:val="en-US"/>
        </w:rPr>
        <w:t>Ann. Chim. Sci. Mat. 25 (2000)</w:t>
      </w:r>
      <w:r>
        <w:rPr>
          <w:lang w:val="en-US"/>
        </w:rPr>
        <w:t xml:space="preserve"> </w:t>
      </w:r>
      <w:r w:rsidRPr="00677E8A">
        <w:rPr>
          <w:lang w:val="en-US"/>
        </w:rPr>
        <w:t>663-678.</w:t>
      </w:r>
    </w:p>
    <w:p w:rsidR="00055A97" w:rsidRPr="00F821B0" w:rsidRDefault="00055A97" w:rsidP="00055A97">
      <w:pPr>
        <w:ind w:firstLine="284"/>
        <w:jc w:val="both"/>
        <w:rPr>
          <w:lang w:val="en-US"/>
        </w:rPr>
      </w:pPr>
      <w:r>
        <w:rPr>
          <w:lang w:val="en-US"/>
        </w:rPr>
        <w:t xml:space="preserve">[11] </w:t>
      </w:r>
      <w:r w:rsidRPr="00957936">
        <w:rPr>
          <w:lang w:val="en-US"/>
        </w:rPr>
        <w:t>D.</w:t>
      </w:r>
      <w:r>
        <w:rPr>
          <w:lang w:val="en-US"/>
        </w:rPr>
        <w:t xml:space="preserve"> </w:t>
      </w:r>
      <w:r w:rsidRPr="00957936">
        <w:rPr>
          <w:lang w:val="en-US"/>
        </w:rPr>
        <w:t>McConnell, A structural investigation of the isomorphism of t</w:t>
      </w:r>
      <w:r>
        <w:rPr>
          <w:lang w:val="en-US"/>
        </w:rPr>
        <w:t xml:space="preserve">he apatite group, Am. Min., 54 </w:t>
      </w:r>
      <w:r w:rsidRPr="00957936">
        <w:rPr>
          <w:lang w:val="en-US"/>
        </w:rPr>
        <w:t>(1938) 1379-1391.</w:t>
      </w:r>
    </w:p>
    <w:p w:rsidR="00055A97" w:rsidRPr="004E5C3E" w:rsidRDefault="00055A97" w:rsidP="00055A97">
      <w:pPr>
        <w:widowControl w:val="0"/>
        <w:tabs>
          <w:tab w:val="left" w:pos="240"/>
          <w:tab w:val="left" w:pos="4320"/>
        </w:tabs>
        <w:autoSpaceDE w:val="0"/>
        <w:autoSpaceDN w:val="0"/>
        <w:adjustRightInd w:val="0"/>
        <w:ind w:firstLine="284"/>
        <w:jc w:val="both"/>
        <w:rPr>
          <w:lang w:val="en-US"/>
        </w:rPr>
      </w:pPr>
      <w:r w:rsidRPr="00B83A48">
        <w:rPr>
          <w:lang w:val="en-US"/>
        </w:rPr>
        <w:t xml:space="preserve">[12] G. H. McClellan, S. </w:t>
      </w:r>
      <w:r w:rsidRPr="004E5C3E">
        <w:rPr>
          <w:lang w:val="en-US"/>
        </w:rPr>
        <w:t>J. J.</w:t>
      </w:r>
      <w:r>
        <w:rPr>
          <w:lang w:val="en-US"/>
        </w:rPr>
        <w:t xml:space="preserve"> </w:t>
      </w:r>
      <w:r w:rsidRPr="00B83A48">
        <w:rPr>
          <w:lang w:val="en-US"/>
        </w:rPr>
        <w:t>Van Kauwenbergh.</w:t>
      </w:r>
      <w:r w:rsidRPr="004E5C3E">
        <w:rPr>
          <w:lang w:val="en-US"/>
        </w:rPr>
        <w:t xml:space="preserve">, </w:t>
      </w:r>
      <w:r>
        <w:rPr>
          <w:lang w:val="en-US"/>
        </w:rPr>
        <w:t>“</w:t>
      </w:r>
      <w:r w:rsidRPr="004E5C3E">
        <w:rPr>
          <w:color w:val="000000"/>
          <w:lang w:val="en-US"/>
        </w:rPr>
        <w:t>Mineralogical and chemical variation of francolites with geological time</w:t>
      </w:r>
      <w:r>
        <w:rPr>
          <w:color w:val="000000"/>
          <w:lang w:val="en-US"/>
        </w:rPr>
        <w:t>”</w:t>
      </w:r>
      <w:r w:rsidRPr="004E5C3E">
        <w:rPr>
          <w:color w:val="000000"/>
          <w:lang w:val="en-US"/>
        </w:rPr>
        <w:t xml:space="preserve">, </w:t>
      </w:r>
      <w:r w:rsidRPr="004E5C3E">
        <w:rPr>
          <w:lang w:val="en-US"/>
        </w:rPr>
        <w:t>Geol. Soc. 148</w:t>
      </w:r>
      <w:r>
        <w:rPr>
          <w:lang w:val="en-US"/>
        </w:rPr>
        <w:t xml:space="preserve"> </w:t>
      </w:r>
      <w:r w:rsidRPr="004E5C3E">
        <w:rPr>
          <w:lang w:val="en-US"/>
        </w:rPr>
        <w:t>(1991) 809-812.</w:t>
      </w:r>
    </w:p>
    <w:p w:rsidR="00055A97" w:rsidRPr="00C535EB" w:rsidRDefault="00055A97" w:rsidP="00055A97">
      <w:pPr>
        <w:widowControl w:val="0"/>
        <w:tabs>
          <w:tab w:val="left" w:pos="180"/>
          <w:tab w:val="left" w:pos="4320"/>
        </w:tabs>
        <w:autoSpaceDE w:val="0"/>
        <w:autoSpaceDN w:val="0"/>
        <w:adjustRightInd w:val="0"/>
        <w:ind w:firstLine="284"/>
        <w:jc w:val="both"/>
        <w:rPr>
          <w:lang w:val="en-US"/>
        </w:rPr>
      </w:pPr>
      <w:r>
        <w:rPr>
          <w:lang w:val="en-US"/>
        </w:rPr>
        <w:t xml:space="preserve">[13] </w:t>
      </w:r>
      <w:r w:rsidRPr="00C535EB">
        <w:rPr>
          <w:lang w:val="en-US"/>
        </w:rPr>
        <w:t>A.</w:t>
      </w:r>
      <w:r>
        <w:rPr>
          <w:lang w:val="en-US"/>
        </w:rPr>
        <w:t xml:space="preserve"> Bouda,</w:t>
      </w:r>
      <w:r w:rsidRPr="00C535EB">
        <w:rPr>
          <w:lang w:val="en-US"/>
        </w:rPr>
        <w:t xml:space="preserve"> M. Salvan, </w:t>
      </w:r>
      <w:r>
        <w:rPr>
          <w:lang w:val="en-US"/>
        </w:rPr>
        <w:t>“</w:t>
      </w:r>
      <w:r w:rsidRPr="00C535EB">
        <w:rPr>
          <w:lang w:val="en-US"/>
        </w:rPr>
        <w:t>Status report on the continental shelf and the Moroccan phosphate deposits</w:t>
      </w:r>
      <w:r>
        <w:rPr>
          <w:lang w:val="en-US"/>
        </w:rPr>
        <w:t>”</w:t>
      </w:r>
      <w:r w:rsidRPr="00C535EB">
        <w:rPr>
          <w:lang w:val="en-US"/>
        </w:rPr>
        <w:t>, Mining, G</w:t>
      </w:r>
      <w:r>
        <w:rPr>
          <w:lang w:val="en-US"/>
        </w:rPr>
        <w:t>éology</w:t>
      </w:r>
      <w:r w:rsidRPr="00C535EB">
        <w:rPr>
          <w:lang w:val="en-US"/>
        </w:rPr>
        <w:t xml:space="preserve"> </w:t>
      </w:r>
      <w:r>
        <w:rPr>
          <w:lang w:val="en-US"/>
        </w:rPr>
        <w:t>and Energy,</w:t>
      </w:r>
      <w:r w:rsidRPr="00C535EB">
        <w:rPr>
          <w:lang w:val="en-US"/>
        </w:rPr>
        <w:t xml:space="preserve"> (1971</w:t>
      </w:r>
      <w:r>
        <w:rPr>
          <w:lang w:val="en-US"/>
        </w:rPr>
        <w:t>)</w:t>
      </w:r>
      <w:r w:rsidRPr="00B83A48">
        <w:rPr>
          <w:lang w:val="en-US"/>
        </w:rPr>
        <w:t xml:space="preserve"> </w:t>
      </w:r>
      <w:r w:rsidRPr="00C535EB">
        <w:rPr>
          <w:lang w:val="en-US"/>
        </w:rPr>
        <w:t>p 126.</w:t>
      </w:r>
    </w:p>
    <w:p w:rsidR="00055A97" w:rsidRPr="00F72F0C" w:rsidRDefault="00055A97" w:rsidP="00055A97">
      <w:pPr>
        <w:widowControl w:val="0"/>
        <w:tabs>
          <w:tab w:val="left" w:pos="180"/>
          <w:tab w:val="left" w:pos="4320"/>
        </w:tabs>
        <w:autoSpaceDE w:val="0"/>
        <w:autoSpaceDN w:val="0"/>
        <w:adjustRightInd w:val="0"/>
        <w:ind w:firstLine="284"/>
        <w:jc w:val="both"/>
        <w:rPr>
          <w:lang w:val="en-US"/>
        </w:rPr>
      </w:pPr>
      <w:r>
        <w:rPr>
          <w:lang w:val="en-US"/>
        </w:rPr>
        <w:t xml:space="preserve">[14] </w:t>
      </w:r>
      <w:r w:rsidRPr="00800F1E">
        <w:rPr>
          <w:lang w:val="en-US"/>
        </w:rPr>
        <w:t>United Nations Industrial Development Organization (UNIDO) &amp; IFDC</w:t>
      </w:r>
      <w:r>
        <w:rPr>
          <w:lang w:val="en-US"/>
        </w:rPr>
        <w:t>,</w:t>
      </w:r>
      <w:r w:rsidRPr="00800F1E">
        <w:rPr>
          <w:lang w:val="en-US"/>
        </w:rPr>
        <w:t xml:space="preserve"> Fertilizer manual. </w:t>
      </w:r>
      <w:smartTag w:uri="urn:schemas-microsoft-com:office:smarttags" w:element="City">
        <w:r w:rsidRPr="00F72F0C">
          <w:rPr>
            <w:lang w:val="en-US"/>
          </w:rPr>
          <w:t>Dordrecht</w:t>
        </w:r>
      </w:smartTag>
      <w:r w:rsidRPr="00F72F0C">
        <w:rPr>
          <w:lang w:val="en-US"/>
        </w:rPr>
        <w:t xml:space="preserve">, the </w:t>
      </w:r>
      <w:smartTag w:uri="urn:schemas-microsoft-com:office:smarttags" w:element="place">
        <w:smartTag w:uri="urn:schemas-microsoft-com:office:smarttags" w:element="country-region">
          <w:r w:rsidRPr="00F72F0C">
            <w:rPr>
              <w:lang w:val="en-US"/>
            </w:rPr>
            <w:t>Netherlands</w:t>
          </w:r>
        </w:smartTag>
      </w:smartTag>
      <w:r w:rsidRPr="00F72F0C">
        <w:rPr>
          <w:lang w:val="en-US"/>
        </w:rPr>
        <w:t>, Kluwer Academic Publishers. P. 615 (1998).</w:t>
      </w:r>
    </w:p>
    <w:p w:rsidR="00055A97" w:rsidRPr="002909F0" w:rsidRDefault="00055A97" w:rsidP="00055A97">
      <w:pPr>
        <w:widowControl w:val="0"/>
        <w:tabs>
          <w:tab w:val="left" w:pos="180"/>
          <w:tab w:val="left" w:pos="540"/>
          <w:tab w:val="left" w:pos="4320"/>
        </w:tabs>
        <w:autoSpaceDE w:val="0"/>
        <w:autoSpaceDN w:val="0"/>
        <w:adjustRightInd w:val="0"/>
        <w:ind w:firstLine="284"/>
        <w:jc w:val="both"/>
        <w:rPr>
          <w:lang w:val="en-US"/>
        </w:rPr>
      </w:pPr>
      <w:r w:rsidRPr="0085110A">
        <w:rPr>
          <w:lang w:val="en-US"/>
        </w:rPr>
        <w:t xml:space="preserve">[15] L.Bilali, Kouhila. M., BenChanaa. </w:t>
      </w:r>
      <w:r>
        <w:rPr>
          <w:lang w:val="en-US"/>
        </w:rPr>
        <w:t>M., Mokhlisse,</w:t>
      </w:r>
      <w:r w:rsidRPr="005337F5">
        <w:rPr>
          <w:lang w:val="en-US"/>
        </w:rPr>
        <w:t xml:space="preserve"> </w:t>
      </w:r>
      <w:r>
        <w:rPr>
          <w:lang w:val="en-US"/>
        </w:rPr>
        <w:t>A. Belghit</w:t>
      </w:r>
      <w:r w:rsidRPr="002909F0">
        <w:rPr>
          <w:lang w:val="en-US"/>
        </w:rPr>
        <w:t xml:space="preserve">, </w:t>
      </w:r>
      <w:r>
        <w:rPr>
          <w:lang w:val="en-US"/>
        </w:rPr>
        <w:t>“</w:t>
      </w:r>
      <w:hyperlink r:id="rId37" w:tooltip="Experimental study and modelling of isotherms of sorption of humid natural phosphate" w:history="1">
        <w:r w:rsidRPr="002909F0">
          <w:rPr>
            <w:rStyle w:val="Lienhypertexte"/>
            <w:lang w:val="en"/>
          </w:rPr>
          <w:t>Experimental study and modelling of isotherms of sorption of humid natural phosphate</w:t>
        </w:r>
      </w:hyperlink>
      <w:r>
        <w:rPr>
          <w:rStyle w:val="lev"/>
          <w:color w:val="000000"/>
          <w:lang w:val="en"/>
        </w:rPr>
        <w:t>”</w:t>
      </w:r>
      <w:r w:rsidRPr="002909F0">
        <w:rPr>
          <w:rStyle w:val="lev"/>
          <w:color w:val="000000"/>
          <w:lang w:val="en"/>
        </w:rPr>
        <w:t xml:space="preserve">, </w:t>
      </w:r>
      <w:r w:rsidRPr="002909F0">
        <w:rPr>
          <w:lang w:val="en-US"/>
        </w:rPr>
        <w:t>Energy Conversion and Management 42 (2001) 467 – 481.</w:t>
      </w:r>
    </w:p>
    <w:p w:rsidR="00055A97" w:rsidRPr="002909F0" w:rsidRDefault="00055A97" w:rsidP="00055A97">
      <w:pPr>
        <w:widowControl w:val="0"/>
        <w:tabs>
          <w:tab w:val="left" w:pos="180"/>
          <w:tab w:val="left" w:pos="540"/>
          <w:tab w:val="left" w:pos="4320"/>
        </w:tabs>
        <w:autoSpaceDE w:val="0"/>
        <w:autoSpaceDN w:val="0"/>
        <w:adjustRightInd w:val="0"/>
        <w:ind w:firstLine="284"/>
        <w:jc w:val="both"/>
        <w:rPr>
          <w:lang w:val="en-US"/>
        </w:rPr>
      </w:pPr>
      <w:r>
        <w:rPr>
          <w:lang w:val="en-US"/>
        </w:rPr>
        <w:t xml:space="preserve">[16] </w:t>
      </w:r>
      <w:r w:rsidRPr="002909F0">
        <w:rPr>
          <w:lang w:val="en-US"/>
        </w:rPr>
        <w:t>J. C.</w:t>
      </w:r>
      <w:r>
        <w:rPr>
          <w:lang w:val="en-US"/>
        </w:rPr>
        <w:t xml:space="preserve"> Trombe</w:t>
      </w:r>
      <w:r w:rsidRPr="002909F0">
        <w:rPr>
          <w:lang w:val="en-US"/>
        </w:rPr>
        <w:t xml:space="preserve">, contribution to the study of the decomposition and reactivity of some apatites, Thesis of university Paul Sabatier, </w:t>
      </w:r>
      <w:smartTag w:uri="urn:schemas-microsoft-com:office:smarttags" w:element="place">
        <w:smartTag w:uri="urn:schemas-microsoft-com:office:smarttags" w:element="City">
          <w:r w:rsidRPr="002909F0">
            <w:rPr>
              <w:lang w:val="en-US"/>
            </w:rPr>
            <w:t>Toulouse</w:t>
          </w:r>
        </w:smartTag>
      </w:smartTag>
      <w:r w:rsidRPr="002909F0">
        <w:rPr>
          <w:lang w:val="en-US"/>
        </w:rPr>
        <w:t>, (1972).</w:t>
      </w:r>
    </w:p>
    <w:p w:rsidR="00055A97" w:rsidRPr="00DB4CAE" w:rsidRDefault="00055A97" w:rsidP="00055A97">
      <w:pPr>
        <w:shd w:val="clear" w:color="auto" w:fill="FFFFFF"/>
        <w:tabs>
          <w:tab w:val="left" w:pos="180"/>
        </w:tabs>
        <w:ind w:firstLine="284"/>
        <w:jc w:val="both"/>
        <w:rPr>
          <w:lang w:val="en-US"/>
        </w:rPr>
      </w:pPr>
      <w:r w:rsidRPr="00B83A48">
        <w:rPr>
          <w:color w:val="000000"/>
          <w:lang w:val="en-US"/>
        </w:rPr>
        <w:t xml:space="preserve">[17] M. Khaddor, M. Ziyad, M. Halim., J. Janie, </w:t>
      </w:r>
      <w:r>
        <w:rPr>
          <w:color w:val="000000"/>
          <w:lang w:val="en-US"/>
        </w:rPr>
        <w:t>A.</w:t>
      </w:r>
      <w:r w:rsidRPr="00B83A48">
        <w:rPr>
          <w:color w:val="000000"/>
          <w:lang w:val="en-US"/>
        </w:rPr>
        <w:t xml:space="preserve"> Amblès</w:t>
      </w:r>
      <w:r w:rsidRPr="0001541B">
        <w:rPr>
          <w:color w:val="000000"/>
          <w:lang w:val="en-US"/>
        </w:rPr>
        <w:t>,</w:t>
      </w:r>
      <w:r w:rsidRPr="00DB4CAE">
        <w:rPr>
          <w:lang w:val="en-US"/>
        </w:rPr>
        <w:t xml:space="preserve"> </w:t>
      </w:r>
      <w:r>
        <w:rPr>
          <w:lang w:val="en-US"/>
        </w:rPr>
        <w:t>“</w:t>
      </w:r>
      <w:r w:rsidRPr="00DB4CAE">
        <w:rPr>
          <w:color w:val="000000"/>
          <w:lang w:val="en-US"/>
        </w:rPr>
        <w:t>Characterization of</w:t>
      </w:r>
      <w:r w:rsidRPr="00167E75">
        <w:rPr>
          <w:color w:val="000000"/>
          <w:lang w:val="en-US"/>
        </w:rPr>
        <w:t xml:space="preserve"> soluble organic matter</w:t>
      </w:r>
      <w:r>
        <w:rPr>
          <w:color w:val="000000"/>
          <w:lang w:val="en-US"/>
        </w:rPr>
        <w:t xml:space="preserve"> from Youssoufia rock phosphate”, </w:t>
      </w:r>
      <w:r w:rsidRPr="00DB4CAE">
        <w:rPr>
          <w:lang w:val="en-US"/>
        </w:rPr>
        <w:t>Fuel 76: 14 – 15</w:t>
      </w:r>
      <w:r w:rsidRPr="00B83A48">
        <w:rPr>
          <w:lang w:val="en-US"/>
        </w:rPr>
        <w:t xml:space="preserve"> </w:t>
      </w:r>
      <w:r w:rsidRPr="00DB4CAE">
        <w:rPr>
          <w:lang w:val="en-US"/>
        </w:rPr>
        <w:t>(1997) 1395 – 1400.</w:t>
      </w:r>
    </w:p>
    <w:p w:rsidR="00055A97" w:rsidRPr="00FC7534" w:rsidRDefault="00055A97" w:rsidP="00055A97">
      <w:pPr>
        <w:autoSpaceDE w:val="0"/>
        <w:autoSpaceDN w:val="0"/>
        <w:adjustRightInd w:val="0"/>
        <w:jc w:val="both"/>
        <w:rPr>
          <w:lang w:val="en-US"/>
        </w:rPr>
      </w:pPr>
      <w:r w:rsidRPr="00F61C58">
        <w:rPr>
          <w:lang w:val="en-US"/>
        </w:rPr>
        <w:t>[18] S. Bakkali, Space filtering applied to the analysis of anomalous zones edges of</w:t>
      </w:r>
      <w:r>
        <w:rPr>
          <w:lang w:val="en-US"/>
        </w:rPr>
        <w:t xml:space="preserve"> </w:t>
      </w:r>
      <w:r w:rsidRPr="00FC7534">
        <w:rPr>
          <w:lang w:val="en-US"/>
        </w:rPr>
        <w:t xml:space="preserve">phosphate "disturbances" of </w:t>
      </w:r>
      <w:smartTag w:uri="urn:schemas-microsoft-com:office:smarttags" w:element="place">
        <w:smartTag w:uri="urn:schemas-microsoft-com:office:smarttags" w:element="City">
          <w:r w:rsidRPr="00FC7534">
            <w:rPr>
              <w:lang w:val="en-US"/>
            </w:rPr>
            <w:t>Sidi Chennane</w:t>
          </w:r>
        </w:smartTag>
        <w:r w:rsidRPr="00FC7534">
          <w:rPr>
            <w:lang w:val="en-US"/>
          </w:rPr>
          <w:t xml:space="preserve">, </w:t>
        </w:r>
        <w:smartTag w:uri="urn:schemas-microsoft-com:office:smarttags" w:element="country-region">
          <w:r w:rsidRPr="00FC7534">
            <w:rPr>
              <w:lang w:val="en-US"/>
            </w:rPr>
            <w:t>Morocco</w:t>
          </w:r>
        </w:smartTag>
      </w:smartTag>
      <w:r w:rsidRPr="00FC7534">
        <w:rPr>
          <w:lang w:val="en-US"/>
        </w:rPr>
        <w:t>, Afrique SCIENCE 02(1) (2006) 116 – 130.</w:t>
      </w:r>
    </w:p>
    <w:p w:rsidR="00055A97" w:rsidRPr="0051684E" w:rsidRDefault="00055A97" w:rsidP="00055A97">
      <w:pPr>
        <w:tabs>
          <w:tab w:val="left" w:pos="180"/>
        </w:tabs>
        <w:ind w:firstLine="284"/>
        <w:jc w:val="both"/>
        <w:rPr>
          <w:lang w:val="en-US"/>
        </w:rPr>
      </w:pPr>
      <w:r>
        <w:rPr>
          <w:lang w:val="en-US"/>
        </w:rPr>
        <w:t xml:space="preserve">[19] </w:t>
      </w:r>
      <w:r w:rsidRPr="0051684E">
        <w:rPr>
          <w:lang w:val="en-US"/>
        </w:rPr>
        <w:t>L.</w:t>
      </w:r>
      <w:r>
        <w:rPr>
          <w:lang w:val="en-US"/>
        </w:rPr>
        <w:t xml:space="preserve"> </w:t>
      </w:r>
      <w:r w:rsidRPr="0051684E">
        <w:rPr>
          <w:lang w:val="en-US"/>
        </w:rPr>
        <w:t>Bilali, M.</w:t>
      </w:r>
      <w:r>
        <w:rPr>
          <w:lang w:val="en-US"/>
        </w:rPr>
        <w:t xml:space="preserve"> </w:t>
      </w:r>
      <w:r w:rsidRPr="0051684E">
        <w:rPr>
          <w:lang w:val="en-US"/>
        </w:rPr>
        <w:t>Benchanaa</w:t>
      </w:r>
      <w:r>
        <w:rPr>
          <w:lang w:val="en-US"/>
        </w:rPr>
        <w:t>,</w:t>
      </w:r>
      <w:r w:rsidRPr="0051684E">
        <w:rPr>
          <w:lang w:val="en-US"/>
        </w:rPr>
        <w:t xml:space="preserve"> A.</w:t>
      </w:r>
      <w:r>
        <w:rPr>
          <w:lang w:val="en-US"/>
        </w:rPr>
        <w:t xml:space="preserve"> </w:t>
      </w:r>
      <w:r w:rsidRPr="0051684E">
        <w:rPr>
          <w:lang w:val="en-US"/>
        </w:rPr>
        <w:t xml:space="preserve">Mokhlisse, </w:t>
      </w:r>
      <w:r>
        <w:rPr>
          <w:lang w:val="en-US"/>
        </w:rPr>
        <w:t>Pyrolysis of black phosphate Youssoufia by conventional heating,</w:t>
      </w:r>
      <w:r w:rsidRPr="0051684E">
        <w:rPr>
          <w:lang w:val="en-US"/>
        </w:rPr>
        <w:t xml:space="preserve"> COVAPHOS I (ed) Proceedings of the first international conférence on the valorization of phosph</w:t>
      </w:r>
      <w:r>
        <w:rPr>
          <w:lang w:val="en-US"/>
        </w:rPr>
        <w:t>ates and phosphorus compounds</w:t>
      </w:r>
      <w:r w:rsidRPr="0051684E">
        <w:rPr>
          <w:lang w:val="en-US"/>
        </w:rPr>
        <w:t xml:space="preserve"> (2004)</w:t>
      </w:r>
      <w:r>
        <w:rPr>
          <w:lang w:val="en-US"/>
        </w:rPr>
        <w:t xml:space="preserve"> </w:t>
      </w:r>
      <w:r w:rsidRPr="0051684E">
        <w:rPr>
          <w:lang w:val="en-US"/>
        </w:rPr>
        <w:t>34-37.</w:t>
      </w:r>
    </w:p>
    <w:p w:rsidR="00055A97" w:rsidRPr="006A3CCD" w:rsidRDefault="00055A97" w:rsidP="00055A97">
      <w:pPr>
        <w:widowControl w:val="0"/>
        <w:tabs>
          <w:tab w:val="left" w:pos="180"/>
          <w:tab w:val="left" w:pos="540"/>
          <w:tab w:val="left" w:pos="4320"/>
        </w:tabs>
        <w:autoSpaceDE w:val="0"/>
        <w:autoSpaceDN w:val="0"/>
        <w:adjustRightInd w:val="0"/>
        <w:ind w:firstLine="284"/>
        <w:jc w:val="both"/>
        <w:rPr>
          <w:lang w:val="en-US"/>
        </w:rPr>
      </w:pPr>
      <w:r>
        <w:rPr>
          <w:lang w:val="en-US"/>
        </w:rPr>
        <w:t>[20] P. Blazy,</w:t>
      </w:r>
      <w:r w:rsidRPr="008F73B5">
        <w:rPr>
          <w:lang w:val="en-US"/>
        </w:rPr>
        <w:t xml:space="preserve"> A. Jdid, </w:t>
      </w:r>
      <w:r w:rsidRPr="001C0791">
        <w:rPr>
          <w:lang w:val="en-US"/>
        </w:rPr>
        <w:t>Decarbonization of sediment</w:t>
      </w:r>
      <w:r>
        <w:rPr>
          <w:lang w:val="en-US"/>
        </w:rPr>
        <w:t>a</w:t>
      </w:r>
      <w:r w:rsidRPr="001C0791">
        <w:rPr>
          <w:lang w:val="en-US"/>
        </w:rPr>
        <w:t>ry</w:t>
      </w:r>
      <w:r>
        <w:rPr>
          <w:lang w:val="en-US"/>
        </w:rPr>
        <w:t xml:space="preserve"> phosphates by dynamic calcination, </w:t>
      </w:r>
      <w:r w:rsidRPr="008F73B5">
        <w:rPr>
          <w:lang w:val="en-US"/>
        </w:rPr>
        <w:t xml:space="preserve">C. R. Acad. Sci. </w:t>
      </w:r>
      <w:r w:rsidRPr="006A3CCD">
        <w:rPr>
          <w:lang w:val="en-US"/>
        </w:rPr>
        <w:t>Paris, 321 (1995)</w:t>
      </w:r>
      <w:r>
        <w:rPr>
          <w:lang w:val="en-US"/>
        </w:rPr>
        <w:t xml:space="preserve"> </w:t>
      </w:r>
      <w:r w:rsidRPr="006A3CCD">
        <w:rPr>
          <w:lang w:val="en-US"/>
        </w:rPr>
        <w:t>287–294.</w:t>
      </w:r>
    </w:p>
    <w:p w:rsidR="00055A97" w:rsidRPr="002D7A21" w:rsidRDefault="00055A97" w:rsidP="00055A97">
      <w:pPr>
        <w:widowControl w:val="0"/>
        <w:tabs>
          <w:tab w:val="left" w:pos="180"/>
          <w:tab w:val="left" w:pos="540"/>
          <w:tab w:val="left" w:pos="4320"/>
        </w:tabs>
        <w:autoSpaceDE w:val="0"/>
        <w:autoSpaceDN w:val="0"/>
        <w:adjustRightInd w:val="0"/>
        <w:ind w:firstLine="284"/>
        <w:jc w:val="both"/>
        <w:rPr>
          <w:lang w:val="en-US"/>
        </w:rPr>
      </w:pPr>
      <w:r>
        <w:rPr>
          <w:lang w:val="en-US"/>
        </w:rPr>
        <w:t xml:space="preserve">[21] </w:t>
      </w:r>
      <w:r w:rsidRPr="002D7A21">
        <w:rPr>
          <w:lang w:val="en-US"/>
        </w:rPr>
        <w:t>T.</w:t>
      </w:r>
      <w:r>
        <w:rPr>
          <w:lang w:val="en-US"/>
        </w:rPr>
        <w:t xml:space="preserve"> </w:t>
      </w:r>
      <w:r w:rsidRPr="002D7A21">
        <w:rPr>
          <w:lang w:val="en-US"/>
        </w:rPr>
        <w:t>R.</w:t>
      </w:r>
      <w:r>
        <w:rPr>
          <w:lang w:val="en-US"/>
        </w:rPr>
        <w:t xml:space="preserve"> </w:t>
      </w:r>
      <w:r w:rsidRPr="002D7A21">
        <w:rPr>
          <w:lang w:val="en-US"/>
        </w:rPr>
        <w:t>Lodha, N.</w:t>
      </w:r>
      <w:r>
        <w:rPr>
          <w:lang w:val="en-US"/>
        </w:rPr>
        <w:t xml:space="preserve"> K. Sinha,</w:t>
      </w:r>
      <w:r w:rsidRPr="002D7A21">
        <w:rPr>
          <w:lang w:val="en-US"/>
        </w:rPr>
        <w:t xml:space="preserve"> A.C. Srivastava, </w:t>
      </w:r>
      <w:r>
        <w:rPr>
          <w:lang w:val="en-US"/>
        </w:rPr>
        <w:t>“</w:t>
      </w:r>
      <w:r w:rsidRPr="002D7A21">
        <w:rPr>
          <w:lang w:val="en-US"/>
        </w:rPr>
        <w:t>Characterization of low grade phosphates and their beneficiation for fertilizer industry</w:t>
      </w:r>
      <w:r>
        <w:rPr>
          <w:lang w:val="en-US"/>
        </w:rPr>
        <w:t>”</w:t>
      </w:r>
      <w:r w:rsidRPr="002D7A21">
        <w:rPr>
          <w:lang w:val="en-US"/>
        </w:rPr>
        <w:t xml:space="preserve">, Chem. </w:t>
      </w:r>
      <w:r>
        <w:rPr>
          <w:lang w:val="en-US"/>
        </w:rPr>
        <w:t>Age India 35 (1984)</w:t>
      </w:r>
      <w:r w:rsidRPr="00FD4B66">
        <w:rPr>
          <w:lang w:val="en-US"/>
        </w:rPr>
        <w:t xml:space="preserve"> 15–22.</w:t>
      </w:r>
    </w:p>
    <w:p w:rsidR="00055A97" w:rsidRPr="00225C7D" w:rsidRDefault="00055A97" w:rsidP="00055A97">
      <w:pPr>
        <w:tabs>
          <w:tab w:val="left" w:pos="180"/>
          <w:tab w:val="left" w:pos="4320"/>
        </w:tabs>
        <w:autoSpaceDE w:val="0"/>
        <w:autoSpaceDN w:val="0"/>
        <w:adjustRightInd w:val="0"/>
        <w:ind w:firstLine="284"/>
        <w:jc w:val="both"/>
        <w:rPr>
          <w:lang w:val="en-US"/>
        </w:rPr>
      </w:pPr>
      <w:r>
        <w:rPr>
          <w:lang w:val="en-US"/>
        </w:rPr>
        <w:t>[22]</w:t>
      </w:r>
      <w:r w:rsidRPr="00D547AE">
        <w:rPr>
          <w:lang w:val="en-US"/>
        </w:rPr>
        <w:t xml:space="preserve"> </w:t>
      </w:r>
      <w:r>
        <w:rPr>
          <w:lang w:val="en-US"/>
        </w:rPr>
        <w:t>P. Blazy,</w:t>
      </w:r>
      <w:r w:rsidRPr="00090762">
        <w:rPr>
          <w:lang w:val="en-US"/>
        </w:rPr>
        <w:t xml:space="preserve"> E. A. Jdid, </w:t>
      </w:r>
      <w:r>
        <w:rPr>
          <w:lang w:val="en-US"/>
        </w:rPr>
        <w:t>“</w:t>
      </w:r>
      <w:r w:rsidRPr="00090762">
        <w:rPr>
          <w:lang w:val="en-US"/>
        </w:rPr>
        <w:t>Calcination of calcareous sedimentary Akashat phosphate (Irak) using a rotary kiln and a flash furnace</w:t>
      </w:r>
      <w:r>
        <w:rPr>
          <w:lang w:val="en-US"/>
        </w:rPr>
        <w:t>” C. R. Acad. Sci, 325 N°10</w:t>
      </w:r>
      <w:r w:rsidRPr="00225C7D">
        <w:rPr>
          <w:lang w:val="en-US"/>
        </w:rPr>
        <w:t xml:space="preserve"> (1997)</w:t>
      </w:r>
      <w:r>
        <w:rPr>
          <w:lang w:val="en-US"/>
        </w:rPr>
        <w:t xml:space="preserve"> </w:t>
      </w:r>
      <w:r w:rsidRPr="00225C7D">
        <w:rPr>
          <w:lang w:val="en-US"/>
        </w:rPr>
        <w:t>761–764.</w:t>
      </w:r>
    </w:p>
    <w:p w:rsidR="00055A97" w:rsidRPr="00B61A9F" w:rsidRDefault="00055A97" w:rsidP="00055A97">
      <w:pPr>
        <w:tabs>
          <w:tab w:val="left" w:pos="180"/>
        </w:tabs>
        <w:ind w:firstLine="284"/>
        <w:jc w:val="both"/>
        <w:rPr>
          <w:lang w:val="en"/>
        </w:rPr>
      </w:pPr>
      <w:r>
        <w:rPr>
          <w:lang w:val="en"/>
        </w:rPr>
        <w:t xml:space="preserve">[23] </w:t>
      </w:r>
      <w:r w:rsidRPr="00B61A9F">
        <w:rPr>
          <w:lang w:val="en"/>
        </w:rPr>
        <w:t>S.</w:t>
      </w:r>
      <w:r>
        <w:rPr>
          <w:lang w:val="en"/>
        </w:rPr>
        <w:t xml:space="preserve"> O'Connell, M. A. Chandler,</w:t>
      </w:r>
      <w:r w:rsidRPr="00B61A9F">
        <w:rPr>
          <w:lang w:val="en"/>
        </w:rPr>
        <w:t xml:space="preserve"> R. Ruedy,</w:t>
      </w:r>
      <w:r>
        <w:rPr>
          <w:lang w:val="en"/>
        </w:rPr>
        <w:t xml:space="preserve"> “</w:t>
      </w:r>
      <w:hyperlink r:id="rId38" w:history="1">
        <w:r w:rsidRPr="00B61A9F">
          <w:rPr>
            <w:rStyle w:val="Lienhypertexte"/>
            <w:lang w:val="en"/>
          </w:rPr>
          <w:t>Implications for the creation of warm saline deep water: Late Paleocene reconstructions and global climate model simulations</w:t>
        </w:r>
      </w:hyperlink>
      <w:r w:rsidRPr="00360F37">
        <w:rPr>
          <w:i/>
          <w:iCs/>
          <w:lang w:val="en"/>
        </w:rPr>
        <w:t xml:space="preserve">”. </w:t>
      </w:r>
      <w:r w:rsidRPr="00360F37">
        <w:rPr>
          <w:rStyle w:val="CitationHTML"/>
          <w:i w:val="0"/>
          <w:iCs w:val="0"/>
          <w:lang w:val="en"/>
        </w:rPr>
        <w:t>Geol. Soc. Amer. Bull.</w:t>
      </w:r>
      <w:r w:rsidRPr="00360F37">
        <w:rPr>
          <w:i/>
          <w:iCs/>
          <w:lang w:val="en"/>
        </w:rPr>
        <w:t>, 100, (1996) 270-284.</w:t>
      </w:r>
    </w:p>
    <w:p w:rsidR="00055A97" w:rsidRPr="00962029" w:rsidRDefault="00055A97" w:rsidP="00055A97">
      <w:pPr>
        <w:spacing w:line="196" w:lineRule="atLeast"/>
        <w:ind w:firstLine="284"/>
        <w:jc w:val="both"/>
        <w:rPr>
          <w:lang w:val="en-US"/>
        </w:rPr>
      </w:pPr>
      <w:r>
        <w:rPr>
          <w:lang w:val="en-US"/>
        </w:rPr>
        <w:t xml:space="preserve">[24] </w:t>
      </w:r>
      <w:r w:rsidRPr="00962029">
        <w:rPr>
          <w:lang w:val="pt-BR"/>
        </w:rPr>
        <w:t>Z. I.</w:t>
      </w:r>
      <w:r>
        <w:rPr>
          <w:lang w:val="pt-BR"/>
        </w:rPr>
        <w:t xml:space="preserve"> </w:t>
      </w:r>
      <w:r w:rsidRPr="00962029">
        <w:rPr>
          <w:lang w:val="en-US"/>
        </w:rPr>
        <w:t>Z</w:t>
      </w:r>
      <w:r>
        <w:rPr>
          <w:lang w:val="en-GB"/>
        </w:rPr>
        <w:t>afar</w:t>
      </w:r>
      <w:r w:rsidRPr="00962029">
        <w:rPr>
          <w:lang w:val="en-GB"/>
        </w:rPr>
        <w:t>, M.</w:t>
      </w:r>
      <w:r>
        <w:rPr>
          <w:lang w:val="en-GB"/>
        </w:rPr>
        <w:t xml:space="preserve"> </w:t>
      </w:r>
      <w:r w:rsidRPr="00962029">
        <w:rPr>
          <w:lang w:val="en-GB"/>
        </w:rPr>
        <w:t xml:space="preserve">Ashraf, </w:t>
      </w:r>
      <w:r w:rsidRPr="00962029">
        <w:rPr>
          <w:lang w:val="en-US"/>
        </w:rPr>
        <w:t>Selective leaching kinetics of calcareous phosphate rock in lactic acid</w:t>
      </w:r>
      <w:r>
        <w:rPr>
          <w:lang w:val="en-US"/>
        </w:rPr>
        <w:t>”</w:t>
      </w:r>
      <w:r w:rsidRPr="00962029">
        <w:rPr>
          <w:lang w:val="en-US"/>
        </w:rPr>
        <w:t>,</w:t>
      </w:r>
      <w:r w:rsidRPr="00962029">
        <w:rPr>
          <w:lang w:val="en-GB"/>
        </w:rPr>
        <w:t xml:space="preserve"> </w:t>
      </w:r>
      <w:hyperlink r:id="rId39" w:history="1">
        <w:r w:rsidRPr="00962029">
          <w:rPr>
            <w:lang w:val="en-GB"/>
          </w:rPr>
          <w:t>Chemical Engineering Journal</w:t>
        </w:r>
      </w:hyperlink>
      <w:r w:rsidRPr="00962029">
        <w:rPr>
          <w:lang w:val="en-GB"/>
        </w:rPr>
        <w:t xml:space="preserve">, </w:t>
      </w:r>
      <w:hyperlink r:id="rId40" w:history="1">
        <w:r w:rsidRPr="00962029">
          <w:rPr>
            <w:lang w:val="en-GB"/>
          </w:rPr>
          <w:t>131 N° 1-3</w:t>
        </w:r>
        <w:r>
          <w:rPr>
            <w:lang w:val="en-GB"/>
          </w:rPr>
          <w:t xml:space="preserve"> </w:t>
        </w:r>
        <w:r w:rsidRPr="00962029">
          <w:rPr>
            <w:lang w:val="en-GB"/>
          </w:rPr>
          <w:t xml:space="preserve">(2007) </w:t>
        </w:r>
      </w:hyperlink>
      <w:r w:rsidRPr="00962029">
        <w:rPr>
          <w:lang w:val="en-GB"/>
        </w:rPr>
        <w:t>41-</w:t>
      </w:r>
      <w:r>
        <w:rPr>
          <w:lang w:val="en-GB"/>
        </w:rPr>
        <w:t xml:space="preserve"> </w:t>
      </w:r>
      <w:r w:rsidRPr="00962029">
        <w:rPr>
          <w:lang w:val="en-GB"/>
        </w:rPr>
        <w:t>48.</w:t>
      </w:r>
    </w:p>
    <w:p w:rsidR="00055A97" w:rsidRPr="00962029" w:rsidRDefault="00055A97" w:rsidP="00055A97">
      <w:pPr>
        <w:tabs>
          <w:tab w:val="left" w:pos="4320"/>
        </w:tabs>
        <w:ind w:firstLine="284"/>
        <w:jc w:val="both"/>
        <w:rPr>
          <w:lang w:val="en-US"/>
        </w:rPr>
      </w:pPr>
      <w:r w:rsidRPr="00B83A48">
        <w:rPr>
          <w:lang w:val="de-DE"/>
        </w:rPr>
        <w:t xml:space="preserve">[25] N. Bezzi., </w:t>
      </w:r>
      <w:r>
        <w:rPr>
          <w:lang w:val="de-DE"/>
        </w:rPr>
        <w:t>D.</w:t>
      </w:r>
      <w:r w:rsidRPr="00B83A48">
        <w:rPr>
          <w:lang w:val="de-DE"/>
        </w:rPr>
        <w:t xml:space="preserve"> </w:t>
      </w:r>
      <w:r>
        <w:rPr>
          <w:lang w:val="de-DE"/>
        </w:rPr>
        <w:t>Merabet,</w:t>
      </w:r>
      <w:r w:rsidRPr="00B83A48">
        <w:rPr>
          <w:lang w:val="de-DE"/>
        </w:rPr>
        <w:t xml:space="preserve"> Benabdeslem. </w:t>
      </w:r>
      <w:r w:rsidRPr="00962029">
        <w:rPr>
          <w:lang w:val="en-US"/>
        </w:rPr>
        <w:t xml:space="preserve">N., Arkoub. H., </w:t>
      </w:r>
      <w:r>
        <w:rPr>
          <w:lang w:val="en-US"/>
        </w:rPr>
        <w:t>“</w:t>
      </w:r>
      <w:r w:rsidRPr="00962029">
        <w:rPr>
          <w:lang w:val="en-US"/>
        </w:rPr>
        <w:t>Physico-chemical characterization of the phosphate ore of Bled El Hadba-Tebessa</w:t>
      </w:r>
      <w:r>
        <w:rPr>
          <w:lang w:val="en-US"/>
        </w:rPr>
        <w:t>”</w:t>
      </w:r>
      <w:r w:rsidRPr="00962029">
        <w:rPr>
          <w:lang w:val="en-US"/>
        </w:rPr>
        <w:t>, Ann. Chim. Sci Mat., 26 (6) (2001) 5-23.</w:t>
      </w:r>
    </w:p>
    <w:p w:rsidR="00055A97" w:rsidRPr="00CB5D74" w:rsidRDefault="00055A97" w:rsidP="00055A97">
      <w:pPr>
        <w:tabs>
          <w:tab w:val="left" w:pos="4320"/>
        </w:tabs>
        <w:ind w:firstLine="284"/>
        <w:jc w:val="both"/>
        <w:rPr>
          <w:lang w:val="en-US"/>
        </w:rPr>
      </w:pPr>
      <w:r>
        <w:rPr>
          <w:lang w:val="en-US"/>
        </w:rPr>
        <w:t>[26]</w:t>
      </w:r>
      <w:r w:rsidRPr="00B83A48">
        <w:rPr>
          <w:lang w:val="en-US"/>
        </w:rPr>
        <w:t xml:space="preserve"> </w:t>
      </w:r>
      <w:r w:rsidRPr="000A50F4">
        <w:rPr>
          <w:lang w:val="en-US"/>
        </w:rPr>
        <w:t>D.</w:t>
      </w:r>
      <w:r>
        <w:rPr>
          <w:lang w:val="en-US"/>
        </w:rPr>
        <w:t>Merabet</w:t>
      </w:r>
      <w:r w:rsidRPr="000A50F4">
        <w:rPr>
          <w:lang w:val="en-US"/>
        </w:rPr>
        <w:t xml:space="preserve">, N. Benabdeslam, N. Bezzi, </w:t>
      </w:r>
      <w:r w:rsidRPr="00CB5D74">
        <w:rPr>
          <w:lang w:val="en-US"/>
        </w:rPr>
        <w:t>T.</w:t>
      </w:r>
      <w:r>
        <w:rPr>
          <w:lang w:val="en-US"/>
        </w:rPr>
        <w:t xml:space="preserve"> </w:t>
      </w:r>
      <w:r w:rsidRPr="000A50F4">
        <w:rPr>
          <w:lang w:val="en-US"/>
        </w:rPr>
        <w:t>Ikhlef</w:t>
      </w:r>
      <w:r>
        <w:rPr>
          <w:lang w:val="en-US"/>
        </w:rPr>
        <w:t xml:space="preserve">, </w:t>
      </w:r>
      <w:r w:rsidRPr="00CB5D74">
        <w:rPr>
          <w:lang w:val="en-US"/>
        </w:rPr>
        <w:t>H.</w:t>
      </w:r>
      <w:r>
        <w:rPr>
          <w:lang w:val="en-US"/>
        </w:rPr>
        <w:t xml:space="preserve"> Arkoub</w:t>
      </w:r>
      <w:r w:rsidRPr="00CB5D74">
        <w:rPr>
          <w:lang w:val="en-US"/>
        </w:rPr>
        <w:t xml:space="preserve">, </w:t>
      </w:r>
      <w:r>
        <w:rPr>
          <w:lang w:val="en-US"/>
        </w:rPr>
        <w:t>“</w:t>
      </w:r>
      <w:r w:rsidRPr="00CB5D74">
        <w:rPr>
          <w:lang w:val="en-US"/>
        </w:rPr>
        <w:t>Influence of the chemical and mineralogical compositions of the dark phosphate of the Jebel Onk (Tebessa) layer on the treatment process</w:t>
      </w:r>
      <w:r>
        <w:rPr>
          <w:lang w:val="en-US"/>
        </w:rPr>
        <w:t>”. Ann chim, vol. 29</w:t>
      </w:r>
      <w:r w:rsidRPr="00CB5D74">
        <w:rPr>
          <w:lang w:val="en-US"/>
        </w:rPr>
        <w:t xml:space="preserve"> (2004) 69-85.</w:t>
      </w:r>
    </w:p>
    <w:p w:rsidR="00055A97" w:rsidRPr="006318FA" w:rsidRDefault="00055A97" w:rsidP="00055A97">
      <w:pPr>
        <w:tabs>
          <w:tab w:val="left" w:pos="4320"/>
        </w:tabs>
        <w:ind w:firstLine="284"/>
        <w:jc w:val="both"/>
        <w:rPr>
          <w:lang w:val="en-US"/>
        </w:rPr>
      </w:pPr>
      <w:r>
        <w:rPr>
          <w:lang w:val="en-US"/>
        </w:rPr>
        <w:t xml:space="preserve">[27] </w:t>
      </w:r>
      <w:r w:rsidRPr="006318FA">
        <w:rPr>
          <w:lang w:val="en-US"/>
        </w:rPr>
        <w:t>S. H.</w:t>
      </w:r>
      <w:r>
        <w:rPr>
          <w:lang w:val="en-US"/>
        </w:rPr>
        <w:t xml:space="preserve"> Chien</w:t>
      </w:r>
      <w:r w:rsidRPr="006318FA">
        <w:rPr>
          <w:lang w:val="en-US"/>
        </w:rPr>
        <w:t>,</w:t>
      </w:r>
      <w:r w:rsidRPr="006318FA">
        <w:rPr>
          <w:rStyle w:val="lev"/>
          <w:lang w:val="en-US"/>
        </w:rPr>
        <w:t xml:space="preserve"> </w:t>
      </w:r>
      <w:r>
        <w:rPr>
          <w:rStyle w:val="lev"/>
          <w:lang w:val="en-US"/>
        </w:rPr>
        <w:t>“</w:t>
      </w:r>
      <w:r w:rsidRPr="006318FA">
        <w:rPr>
          <w:lang w:val="en-US"/>
        </w:rPr>
        <w:t>Solubility assessment for fertilizer containing phosphate rock</w:t>
      </w:r>
      <w:r>
        <w:rPr>
          <w:lang w:val="en-US"/>
        </w:rPr>
        <w:t>”, Fert. Res., 35</w:t>
      </w:r>
      <w:r w:rsidRPr="006318FA">
        <w:rPr>
          <w:lang w:val="en-US"/>
        </w:rPr>
        <w:t xml:space="preserve"> (1993)93-99.</w:t>
      </w:r>
    </w:p>
    <w:p w:rsidR="00567306" w:rsidRPr="00567306" w:rsidRDefault="00055A97" w:rsidP="00055A97">
      <w:pPr>
        <w:tabs>
          <w:tab w:val="left" w:pos="4320"/>
        </w:tabs>
        <w:ind w:firstLine="284"/>
        <w:jc w:val="both"/>
        <w:rPr>
          <w:lang w:val="en-US"/>
        </w:rPr>
      </w:pPr>
      <w:r>
        <w:rPr>
          <w:lang w:val="en-US"/>
        </w:rPr>
        <w:t xml:space="preserve">[28] </w:t>
      </w:r>
      <w:r w:rsidRPr="00B306E5">
        <w:rPr>
          <w:lang w:val="en-US"/>
        </w:rPr>
        <w:t xml:space="preserve">S. </w:t>
      </w:r>
      <w:r>
        <w:rPr>
          <w:lang w:val="en-US"/>
        </w:rPr>
        <w:t xml:space="preserve">H. Chien, </w:t>
      </w:r>
      <w:r w:rsidRPr="00B306E5">
        <w:rPr>
          <w:lang w:val="en-US"/>
        </w:rPr>
        <w:t>R.</w:t>
      </w:r>
      <w:r>
        <w:rPr>
          <w:lang w:val="en-US"/>
        </w:rPr>
        <w:t xml:space="preserve"> </w:t>
      </w:r>
      <w:r w:rsidRPr="00B306E5">
        <w:rPr>
          <w:lang w:val="en-US"/>
        </w:rPr>
        <w:t>G.</w:t>
      </w:r>
      <w:r>
        <w:rPr>
          <w:lang w:val="en-US"/>
        </w:rPr>
        <w:t xml:space="preserve"> Menon</w:t>
      </w:r>
      <w:r w:rsidRPr="00B306E5">
        <w:rPr>
          <w:lang w:val="en-US"/>
        </w:rPr>
        <w:t>,</w:t>
      </w:r>
      <w:r w:rsidRPr="00B306E5">
        <w:rPr>
          <w:rStyle w:val="Accentuation"/>
          <w:lang w:val="en-US"/>
        </w:rPr>
        <w:t xml:space="preserve"> </w:t>
      </w:r>
      <w:r w:rsidRPr="00F53918">
        <w:rPr>
          <w:rStyle w:val="Accentuation"/>
          <w:i w:val="0"/>
          <w:iCs w:val="0"/>
          <w:lang w:val="en-US"/>
        </w:rPr>
        <w:t>“</w:t>
      </w:r>
      <w:r w:rsidRPr="00B306E5">
        <w:rPr>
          <w:rStyle w:val="ft"/>
          <w:lang w:val="en-US"/>
        </w:rPr>
        <w:t>Factors affecting the agronomic effectiveness of phosphate rock for direct application</w:t>
      </w:r>
      <w:r>
        <w:rPr>
          <w:rStyle w:val="ft"/>
          <w:lang w:val="en-US"/>
        </w:rPr>
        <w:t>”</w:t>
      </w:r>
      <w:r w:rsidRPr="00B306E5">
        <w:rPr>
          <w:rStyle w:val="ft"/>
          <w:lang w:val="en-US"/>
        </w:rPr>
        <w:t>,</w:t>
      </w:r>
      <w:r w:rsidRPr="00B306E5">
        <w:rPr>
          <w:lang w:val="en-US"/>
        </w:rPr>
        <w:t xml:space="preserve"> Fert. Res., 41(1995)</w:t>
      </w:r>
      <w:r>
        <w:rPr>
          <w:lang w:val="en-US"/>
        </w:rPr>
        <w:t xml:space="preserve"> </w:t>
      </w:r>
      <w:r w:rsidRPr="00B306E5">
        <w:rPr>
          <w:lang w:val="en-US"/>
        </w:rPr>
        <w:t>227-234.</w:t>
      </w:r>
    </w:p>
    <w:sectPr w:rsidR="00567306" w:rsidRPr="00567306" w:rsidSect="00026339">
      <w:type w:val="continuous"/>
      <w:pgSz w:w="11906" w:h="16838" w:code="9"/>
      <w:pgMar w:top="1418" w:right="1418" w:bottom="1418" w:left="141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A8" w:rsidRDefault="009D65A8">
      <w:r>
        <w:separator/>
      </w:r>
    </w:p>
  </w:endnote>
  <w:endnote w:type="continuationSeparator" w:id="0">
    <w:p w:rsidR="009D65A8" w:rsidRDefault="009D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TSYN">
    <w:altName w:val="SimHei"/>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D9" w:rsidRDefault="006A10D9" w:rsidP="004B50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A10D9" w:rsidRDefault="006A10D9" w:rsidP="00D90EC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D9" w:rsidRDefault="006A10D9" w:rsidP="004B50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65A8">
      <w:rPr>
        <w:rStyle w:val="Numrodepage"/>
        <w:noProof/>
      </w:rPr>
      <w:t>1</w:t>
    </w:r>
    <w:r>
      <w:rPr>
        <w:rStyle w:val="Numrodepage"/>
      </w:rPr>
      <w:fldChar w:fldCharType="end"/>
    </w:r>
  </w:p>
  <w:p w:rsidR="006A10D9" w:rsidRDefault="006A10D9" w:rsidP="00D90EC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A8" w:rsidRDefault="009D65A8">
      <w:r>
        <w:separator/>
      </w:r>
    </w:p>
  </w:footnote>
  <w:footnote w:type="continuationSeparator" w:id="0">
    <w:p w:rsidR="009D65A8" w:rsidRDefault="009D6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AC"/>
    <w:rsid w:val="00010A14"/>
    <w:rsid w:val="0001541B"/>
    <w:rsid w:val="000220BA"/>
    <w:rsid w:val="0002505F"/>
    <w:rsid w:val="00026339"/>
    <w:rsid w:val="000267B0"/>
    <w:rsid w:val="000379BF"/>
    <w:rsid w:val="000409D4"/>
    <w:rsid w:val="000436EA"/>
    <w:rsid w:val="00043EBE"/>
    <w:rsid w:val="000476A4"/>
    <w:rsid w:val="0004791E"/>
    <w:rsid w:val="00052ECD"/>
    <w:rsid w:val="00055A97"/>
    <w:rsid w:val="000631E0"/>
    <w:rsid w:val="00065577"/>
    <w:rsid w:val="00072DE2"/>
    <w:rsid w:val="00081FC8"/>
    <w:rsid w:val="00082918"/>
    <w:rsid w:val="00086059"/>
    <w:rsid w:val="000900D1"/>
    <w:rsid w:val="00090762"/>
    <w:rsid w:val="000921D6"/>
    <w:rsid w:val="00092DEB"/>
    <w:rsid w:val="00095540"/>
    <w:rsid w:val="000A50F4"/>
    <w:rsid w:val="000A74DD"/>
    <w:rsid w:val="000B448C"/>
    <w:rsid w:val="000B6138"/>
    <w:rsid w:val="000B77FD"/>
    <w:rsid w:val="000C259C"/>
    <w:rsid w:val="000C55C8"/>
    <w:rsid w:val="000D7C68"/>
    <w:rsid w:val="000D7F4C"/>
    <w:rsid w:val="000E0C59"/>
    <w:rsid w:val="000E3080"/>
    <w:rsid w:val="00100431"/>
    <w:rsid w:val="00102028"/>
    <w:rsid w:val="00104324"/>
    <w:rsid w:val="00113094"/>
    <w:rsid w:val="001209D2"/>
    <w:rsid w:val="00122423"/>
    <w:rsid w:val="001231DF"/>
    <w:rsid w:val="00142DAB"/>
    <w:rsid w:val="00150DEE"/>
    <w:rsid w:val="001520B9"/>
    <w:rsid w:val="00160F74"/>
    <w:rsid w:val="0016259A"/>
    <w:rsid w:val="001637AA"/>
    <w:rsid w:val="00166A16"/>
    <w:rsid w:val="00167E75"/>
    <w:rsid w:val="001738D5"/>
    <w:rsid w:val="001801B1"/>
    <w:rsid w:val="0018338F"/>
    <w:rsid w:val="0018359C"/>
    <w:rsid w:val="00192B57"/>
    <w:rsid w:val="001A229C"/>
    <w:rsid w:val="001A4A47"/>
    <w:rsid w:val="001A6EE6"/>
    <w:rsid w:val="001B6E08"/>
    <w:rsid w:val="001C633D"/>
    <w:rsid w:val="001E5DC5"/>
    <w:rsid w:val="001F36D1"/>
    <w:rsid w:val="00205357"/>
    <w:rsid w:val="00206466"/>
    <w:rsid w:val="00206CDD"/>
    <w:rsid w:val="00207B24"/>
    <w:rsid w:val="002104B5"/>
    <w:rsid w:val="002111A5"/>
    <w:rsid w:val="00211308"/>
    <w:rsid w:val="00217053"/>
    <w:rsid w:val="002221D0"/>
    <w:rsid w:val="00225C7D"/>
    <w:rsid w:val="00226D46"/>
    <w:rsid w:val="002270F1"/>
    <w:rsid w:val="0023076A"/>
    <w:rsid w:val="00243CFB"/>
    <w:rsid w:val="00247085"/>
    <w:rsid w:val="00250607"/>
    <w:rsid w:val="00261547"/>
    <w:rsid w:val="00265004"/>
    <w:rsid w:val="00287510"/>
    <w:rsid w:val="002902F5"/>
    <w:rsid w:val="002909F0"/>
    <w:rsid w:val="00293D8D"/>
    <w:rsid w:val="00293DF1"/>
    <w:rsid w:val="002A06DD"/>
    <w:rsid w:val="002C0295"/>
    <w:rsid w:val="002C1355"/>
    <w:rsid w:val="002D485E"/>
    <w:rsid w:val="002D6A61"/>
    <w:rsid w:val="002D7A21"/>
    <w:rsid w:val="002E0D51"/>
    <w:rsid w:val="002E10D7"/>
    <w:rsid w:val="002E449F"/>
    <w:rsid w:val="002E7955"/>
    <w:rsid w:val="002F1727"/>
    <w:rsid w:val="002F248D"/>
    <w:rsid w:val="002F7DD9"/>
    <w:rsid w:val="00303C6E"/>
    <w:rsid w:val="003123EE"/>
    <w:rsid w:val="0032547A"/>
    <w:rsid w:val="003315B7"/>
    <w:rsid w:val="003348E9"/>
    <w:rsid w:val="003413A0"/>
    <w:rsid w:val="00341DF7"/>
    <w:rsid w:val="00342556"/>
    <w:rsid w:val="003429E4"/>
    <w:rsid w:val="003508CF"/>
    <w:rsid w:val="00353F13"/>
    <w:rsid w:val="00354C2C"/>
    <w:rsid w:val="0035533F"/>
    <w:rsid w:val="00356999"/>
    <w:rsid w:val="00360F37"/>
    <w:rsid w:val="00361E6E"/>
    <w:rsid w:val="00371760"/>
    <w:rsid w:val="00372966"/>
    <w:rsid w:val="00382289"/>
    <w:rsid w:val="00383110"/>
    <w:rsid w:val="0038418A"/>
    <w:rsid w:val="00390D74"/>
    <w:rsid w:val="003B1EAF"/>
    <w:rsid w:val="003B2F80"/>
    <w:rsid w:val="003B302A"/>
    <w:rsid w:val="003B338E"/>
    <w:rsid w:val="003B4028"/>
    <w:rsid w:val="003C3DB3"/>
    <w:rsid w:val="003C7376"/>
    <w:rsid w:val="003D52A3"/>
    <w:rsid w:val="003E12CC"/>
    <w:rsid w:val="003E47DD"/>
    <w:rsid w:val="003E579D"/>
    <w:rsid w:val="003F3685"/>
    <w:rsid w:val="003F428F"/>
    <w:rsid w:val="003F6D80"/>
    <w:rsid w:val="00412743"/>
    <w:rsid w:val="00414319"/>
    <w:rsid w:val="004228F0"/>
    <w:rsid w:val="004319F0"/>
    <w:rsid w:val="00442C85"/>
    <w:rsid w:val="00445DE2"/>
    <w:rsid w:val="004540AC"/>
    <w:rsid w:val="00456D7D"/>
    <w:rsid w:val="00457580"/>
    <w:rsid w:val="00461F26"/>
    <w:rsid w:val="00463090"/>
    <w:rsid w:val="00464E5F"/>
    <w:rsid w:val="00480C6E"/>
    <w:rsid w:val="00483300"/>
    <w:rsid w:val="00485FB8"/>
    <w:rsid w:val="00492606"/>
    <w:rsid w:val="00492A93"/>
    <w:rsid w:val="00492AC9"/>
    <w:rsid w:val="004954C2"/>
    <w:rsid w:val="00496BAC"/>
    <w:rsid w:val="004A310C"/>
    <w:rsid w:val="004A5C4E"/>
    <w:rsid w:val="004B412C"/>
    <w:rsid w:val="004B49DB"/>
    <w:rsid w:val="004B5020"/>
    <w:rsid w:val="004C054C"/>
    <w:rsid w:val="004C2C04"/>
    <w:rsid w:val="004C3DD6"/>
    <w:rsid w:val="004C5B6B"/>
    <w:rsid w:val="004C652D"/>
    <w:rsid w:val="004D706A"/>
    <w:rsid w:val="004E24B2"/>
    <w:rsid w:val="004E5C3E"/>
    <w:rsid w:val="004F4A12"/>
    <w:rsid w:val="004F50BC"/>
    <w:rsid w:val="004F676E"/>
    <w:rsid w:val="00500979"/>
    <w:rsid w:val="005126AC"/>
    <w:rsid w:val="0051684E"/>
    <w:rsid w:val="00522670"/>
    <w:rsid w:val="00526FD1"/>
    <w:rsid w:val="005337F5"/>
    <w:rsid w:val="00533DA1"/>
    <w:rsid w:val="00537B40"/>
    <w:rsid w:val="0054091B"/>
    <w:rsid w:val="00547C05"/>
    <w:rsid w:val="00547EF9"/>
    <w:rsid w:val="0056196C"/>
    <w:rsid w:val="00563B02"/>
    <w:rsid w:val="00567306"/>
    <w:rsid w:val="00580B3F"/>
    <w:rsid w:val="00587B02"/>
    <w:rsid w:val="00590826"/>
    <w:rsid w:val="00593924"/>
    <w:rsid w:val="005978B2"/>
    <w:rsid w:val="005A56CA"/>
    <w:rsid w:val="005B1C63"/>
    <w:rsid w:val="005B4CB9"/>
    <w:rsid w:val="005B61AA"/>
    <w:rsid w:val="005C37D9"/>
    <w:rsid w:val="005D65B1"/>
    <w:rsid w:val="005D7599"/>
    <w:rsid w:val="005D7BA8"/>
    <w:rsid w:val="005F22EC"/>
    <w:rsid w:val="006036AA"/>
    <w:rsid w:val="00604AD1"/>
    <w:rsid w:val="00606807"/>
    <w:rsid w:val="00610E53"/>
    <w:rsid w:val="00611183"/>
    <w:rsid w:val="00611547"/>
    <w:rsid w:val="00611F9C"/>
    <w:rsid w:val="00614D05"/>
    <w:rsid w:val="00615F00"/>
    <w:rsid w:val="006318FA"/>
    <w:rsid w:val="00646AAD"/>
    <w:rsid w:val="00651F0F"/>
    <w:rsid w:val="00655388"/>
    <w:rsid w:val="00664034"/>
    <w:rsid w:val="006650AB"/>
    <w:rsid w:val="006652A0"/>
    <w:rsid w:val="00671023"/>
    <w:rsid w:val="0067556C"/>
    <w:rsid w:val="00677E8A"/>
    <w:rsid w:val="006807B7"/>
    <w:rsid w:val="00694526"/>
    <w:rsid w:val="006966A2"/>
    <w:rsid w:val="00696B21"/>
    <w:rsid w:val="006A10D9"/>
    <w:rsid w:val="006A15D3"/>
    <w:rsid w:val="006A3CCD"/>
    <w:rsid w:val="006A4182"/>
    <w:rsid w:val="006A79A2"/>
    <w:rsid w:val="006B10C7"/>
    <w:rsid w:val="006C725F"/>
    <w:rsid w:val="006E2FE2"/>
    <w:rsid w:val="006E7B8C"/>
    <w:rsid w:val="006F3742"/>
    <w:rsid w:val="00707D85"/>
    <w:rsid w:val="00713A46"/>
    <w:rsid w:val="00734C2C"/>
    <w:rsid w:val="00734DA8"/>
    <w:rsid w:val="0074682E"/>
    <w:rsid w:val="00757118"/>
    <w:rsid w:val="00757805"/>
    <w:rsid w:val="007607BF"/>
    <w:rsid w:val="007638EC"/>
    <w:rsid w:val="007748F1"/>
    <w:rsid w:val="00777AF4"/>
    <w:rsid w:val="00781462"/>
    <w:rsid w:val="00782839"/>
    <w:rsid w:val="00786948"/>
    <w:rsid w:val="007945C0"/>
    <w:rsid w:val="007A01FD"/>
    <w:rsid w:val="007B0288"/>
    <w:rsid w:val="007B4086"/>
    <w:rsid w:val="007D2490"/>
    <w:rsid w:val="007D70C5"/>
    <w:rsid w:val="007E0DE4"/>
    <w:rsid w:val="007E5F53"/>
    <w:rsid w:val="007F0F69"/>
    <w:rsid w:val="007F138A"/>
    <w:rsid w:val="008005D0"/>
    <w:rsid w:val="00800F1E"/>
    <w:rsid w:val="00802DF7"/>
    <w:rsid w:val="008042D0"/>
    <w:rsid w:val="00813261"/>
    <w:rsid w:val="00816C7A"/>
    <w:rsid w:val="00821FF1"/>
    <w:rsid w:val="00822E12"/>
    <w:rsid w:val="00841812"/>
    <w:rsid w:val="00841EE3"/>
    <w:rsid w:val="008619F3"/>
    <w:rsid w:val="008756A8"/>
    <w:rsid w:val="00880E2E"/>
    <w:rsid w:val="0089331D"/>
    <w:rsid w:val="008B016D"/>
    <w:rsid w:val="008B39F1"/>
    <w:rsid w:val="008D2346"/>
    <w:rsid w:val="008D31AB"/>
    <w:rsid w:val="008E2EBE"/>
    <w:rsid w:val="008F17CC"/>
    <w:rsid w:val="008F547F"/>
    <w:rsid w:val="008F5F35"/>
    <w:rsid w:val="008F73B5"/>
    <w:rsid w:val="009205C8"/>
    <w:rsid w:val="00920EDC"/>
    <w:rsid w:val="009418CD"/>
    <w:rsid w:val="00943F6A"/>
    <w:rsid w:val="009446A0"/>
    <w:rsid w:val="00946DE5"/>
    <w:rsid w:val="0095208A"/>
    <w:rsid w:val="00954D00"/>
    <w:rsid w:val="00957936"/>
    <w:rsid w:val="00960A98"/>
    <w:rsid w:val="00962029"/>
    <w:rsid w:val="00962708"/>
    <w:rsid w:val="00967363"/>
    <w:rsid w:val="00982015"/>
    <w:rsid w:val="00986BB2"/>
    <w:rsid w:val="0098715B"/>
    <w:rsid w:val="00992B74"/>
    <w:rsid w:val="0099760C"/>
    <w:rsid w:val="00997BC5"/>
    <w:rsid w:val="009A400D"/>
    <w:rsid w:val="009A46EF"/>
    <w:rsid w:val="009B12E2"/>
    <w:rsid w:val="009B2A7D"/>
    <w:rsid w:val="009D65A8"/>
    <w:rsid w:val="009E35B9"/>
    <w:rsid w:val="00A042F2"/>
    <w:rsid w:val="00A326B5"/>
    <w:rsid w:val="00A37A96"/>
    <w:rsid w:val="00A411C5"/>
    <w:rsid w:val="00A465E2"/>
    <w:rsid w:val="00A5099E"/>
    <w:rsid w:val="00A5558A"/>
    <w:rsid w:val="00A56755"/>
    <w:rsid w:val="00A60F9F"/>
    <w:rsid w:val="00A70119"/>
    <w:rsid w:val="00A746BB"/>
    <w:rsid w:val="00A77D24"/>
    <w:rsid w:val="00A77EB8"/>
    <w:rsid w:val="00A80559"/>
    <w:rsid w:val="00A85884"/>
    <w:rsid w:val="00A87E28"/>
    <w:rsid w:val="00A905D9"/>
    <w:rsid w:val="00AA0207"/>
    <w:rsid w:val="00AA502C"/>
    <w:rsid w:val="00AA6CF7"/>
    <w:rsid w:val="00AA7841"/>
    <w:rsid w:val="00AB5F5C"/>
    <w:rsid w:val="00AB6B44"/>
    <w:rsid w:val="00AC0175"/>
    <w:rsid w:val="00AD1FA6"/>
    <w:rsid w:val="00AD729D"/>
    <w:rsid w:val="00AE452A"/>
    <w:rsid w:val="00AF20C2"/>
    <w:rsid w:val="00AF31B9"/>
    <w:rsid w:val="00AF3ED3"/>
    <w:rsid w:val="00B0009B"/>
    <w:rsid w:val="00B017C6"/>
    <w:rsid w:val="00B02115"/>
    <w:rsid w:val="00B03BFA"/>
    <w:rsid w:val="00B0517E"/>
    <w:rsid w:val="00B22531"/>
    <w:rsid w:val="00B306E5"/>
    <w:rsid w:val="00B30A8B"/>
    <w:rsid w:val="00B3245C"/>
    <w:rsid w:val="00B421B3"/>
    <w:rsid w:val="00B4564E"/>
    <w:rsid w:val="00B53EA1"/>
    <w:rsid w:val="00B54DF0"/>
    <w:rsid w:val="00B54FEB"/>
    <w:rsid w:val="00B618E5"/>
    <w:rsid w:val="00B61A9F"/>
    <w:rsid w:val="00B81986"/>
    <w:rsid w:val="00B83A48"/>
    <w:rsid w:val="00B86100"/>
    <w:rsid w:val="00B871F5"/>
    <w:rsid w:val="00B87E47"/>
    <w:rsid w:val="00B96630"/>
    <w:rsid w:val="00B971DA"/>
    <w:rsid w:val="00BB65E4"/>
    <w:rsid w:val="00BB72F5"/>
    <w:rsid w:val="00BC1651"/>
    <w:rsid w:val="00BC4FFC"/>
    <w:rsid w:val="00BD197E"/>
    <w:rsid w:val="00BE11C5"/>
    <w:rsid w:val="00BF1ADC"/>
    <w:rsid w:val="00BF1D90"/>
    <w:rsid w:val="00BF2F0E"/>
    <w:rsid w:val="00BF4507"/>
    <w:rsid w:val="00BF6507"/>
    <w:rsid w:val="00C01948"/>
    <w:rsid w:val="00C05A9C"/>
    <w:rsid w:val="00C0686F"/>
    <w:rsid w:val="00C121FB"/>
    <w:rsid w:val="00C15D30"/>
    <w:rsid w:val="00C21428"/>
    <w:rsid w:val="00C26827"/>
    <w:rsid w:val="00C35296"/>
    <w:rsid w:val="00C50F31"/>
    <w:rsid w:val="00C535EB"/>
    <w:rsid w:val="00C53F52"/>
    <w:rsid w:val="00C61559"/>
    <w:rsid w:val="00C70999"/>
    <w:rsid w:val="00C91522"/>
    <w:rsid w:val="00C91E49"/>
    <w:rsid w:val="00CA1BD9"/>
    <w:rsid w:val="00CA5663"/>
    <w:rsid w:val="00CA577D"/>
    <w:rsid w:val="00CB134C"/>
    <w:rsid w:val="00CB1AEB"/>
    <w:rsid w:val="00CB5D74"/>
    <w:rsid w:val="00CC6841"/>
    <w:rsid w:val="00CE3FF4"/>
    <w:rsid w:val="00CF0479"/>
    <w:rsid w:val="00CF15FC"/>
    <w:rsid w:val="00CF4710"/>
    <w:rsid w:val="00D026B4"/>
    <w:rsid w:val="00D105B4"/>
    <w:rsid w:val="00D20083"/>
    <w:rsid w:val="00D20908"/>
    <w:rsid w:val="00D22C42"/>
    <w:rsid w:val="00D46D94"/>
    <w:rsid w:val="00D50960"/>
    <w:rsid w:val="00D547AE"/>
    <w:rsid w:val="00D5647D"/>
    <w:rsid w:val="00D57C3A"/>
    <w:rsid w:val="00D60782"/>
    <w:rsid w:val="00D62961"/>
    <w:rsid w:val="00D7153D"/>
    <w:rsid w:val="00D75179"/>
    <w:rsid w:val="00D765BA"/>
    <w:rsid w:val="00D90977"/>
    <w:rsid w:val="00D90EC6"/>
    <w:rsid w:val="00D928D5"/>
    <w:rsid w:val="00DB28C1"/>
    <w:rsid w:val="00DB4CAE"/>
    <w:rsid w:val="00DE5B3D"/>
    <w:rsid w:val="00DE6DDE"/>
    <w:rsid w:val="00DF2FA7"/>
    <w:rsid w:val="00E029E0"/>
    <w:rsid w:val="00E1062E"/>
    <w:rsid w:val="00E1065C"/>
    <w:rsid w:val="00E22A1A"/>
    <w:rsid w:val="00E422D3"/>
    <w:rsid w:val="00E423DD"/>
    <w:rsid w:val="00E50619"/>
    <w:rsid w:val="00E523FF"/>
    <w:rsid w:val="00E6149E"/>
    <w:rsid w:val="00E6216A"/>
    <w:rsid w:val="00E64EFA"/>
    <w:rsid w:val="00E720C5"/>
    <w:rsid w:val="00E7368A"/>
    <w:rsid w:val="00E7584D"/>
    <w:rsid w:val="00E75890"/>
    <w:rsid w:val="00E823CA"/>
    <w:rsid w:val="00E859C1"/>
    <w:rsid w:val="00E87BCD"/>
    <w:rsid w:val="00E90735"/>
    <w:rsid w:val="00E9259A"/>
    <w:rsid w:val="00EA223E"/>
    <w:rsid w:val="00EA60E3"/>
    <w:rsid w:val="00EB1335"/>
    <w:rsid w:val="00EB366E"/>
    <w:rsid w:val="00EB3FB0"/>
    <w:rsid w:val="00EB7035"/>
    <w:rsid w:val="00EB7AC8"/>
    <w:rsid w:val="00EC023D"/>
    <w:rsid w:val="00ED4C64"/>
    <w:rsid w:val="00EE16F7"/>
    <w:rsid w:val="00EE24A4"/>
    <w:rsid w:val="00EE6A48"/>
    <w:rsid w:val="00EF5FF2"/>
    <w:rsid w:val="00F053DF"/>
    <w:rsid w:val="00F10D78"/>
    <w:rsid w:val="00F1798D"/>
    <w:rsid w:val="00F37685"/>
    <w:rsid w:val="00F5214C"/>
    <w:rsid w:val="00F53918"/>
    <w:rsid w:val="00F61C58"/>
    <w:rsid w:val="00F62C64"/>
    <w:rsid w:val="00F6641D"/>
    <w:rsid w:val="00F72F0C"/>
    <w:rsid w:val="00F74951"/>
    <w:rsid w:val="00F807E4"/>
    <w:rsid w:val="00F821B0"/>
    <w:rsid w:val="00F85747"/>
    <w:rsid w:val="00F95CCC"/>
    <w:rsid w:val="00FA3541"/>
    <w:rsid w:val="00FB1E76"/>
    <w:rsid w:val="00FB676D"/>
    <w:rsid w:val="00FC224A"/>
    <w:rsid w:val="00FC505F"/>
    <w:rsid w:val="00FC7534"/>
    <w:rsid w:val="00FD30CC"/>
    <w:rsid w:val="00FD4B66"/>
    <w:rsid w:val="00FD5553"/>
    <w:rsid w:val="00FD63E8"/>
    <w:rsid w:val="00FE1DB5"/>
    <w:rsid w:val="00FF1DEF"/>
    <w:rsid w:val="00FF32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AC"/>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ccentuation">
    <w:name w:val="Emphasis"/>
    <w:qFormat/>
    <w:rsid w:val="00496BAC"/>
    <w:rPr>
      <w:rFonts w:cs="Times New Roman"/>
      <w:i/>
      <w:iCs/>
    </w:rPr>
  </w:style>
  <w:style w:type="character" w:styleId="lev">
    <w:name w:val="Strong"/>
    <w:qFormat/>
    <w:rsid w:val="00496BAC"/>
    <w:rPr>
      <w:rFonts w:cs="Times New Roman"/>
      <w:b/>
      <w:bCs/>
    </w:rPr>
  </w:style>
  <w:style w:type="character" w:styleId="Lienhypertexte">
    <w:name w:val="Hyperlink"/>
    <w:rsid w:val="00496BAC"/>
    <w:rPr>
      <w:rFonts w:cs="Times New Roman"/>
    </w:rPr>
  </w:style>
  <w:style w:type="paragraph" w:styleId="Retraitcorpsdetexte">
    <w:name w:val="Body Text Indent"/>
    <w:basedOn w:val="Normal"/>
    <w:rsid w:val="00FD5553"/>
    <w:pPr>
      <w:spacing w:after="120"/>
      <w:ind w:left="283"/>
    </w:pPr>
    <w:rPr>
      <w:rFonts w:eastAsia="SimSun"/>
      <w:lang w:eastAsia="zh-CN"/>
    </w:rPr>
  </w:style>
  <w:style w:type="character" w:customStyle="1" w:styleId="longtext1">
    <w:name w:val="long_text1"/>
    <w:rsid w:val="00FD5553"/>
    <w:rPr>
      <w:sz w:val="14"/>
      <w:szCs w:val="14"/>
    </w:rPr>
  </w:style>
  <w:style w:type="character" w:customStyle="1" w:styleId="shorttext1">
    <w:name w:val="short_text1"/>
    <w:rsid w:val="004D706A"/>
    <w:rPr>
      <w:sz w:val="20"/>
      <w:szCs w:val="20"/>
    </w:rPr>
  </w:style>
  <w:style w:type="paragraph" w:styleId="Corpsdetexte">
    <w:name w:val="Body Text"/>
    <w:basedOn w:val="Normal"/>
    <w:rsid w:val="00456D7D"/>
    <w:pPr>
      <w:spacing w:after="120"/>
    </w:pPr>
    <w:rPr>
      <w:rFonts w:eastAsia="SimSun"/>
      <w:lang w:eastAsia="zh-CN"/>
    </w:rPr>
  </w:style>
  <w:style w:type="table" w:styleId="Grilledutableau">
    <w:name w:val="Table Grid"/>
    <w:basedOn w:val="TableauNormal"/>
    <w:rsid w:val="007D2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Policepardfaut"/>
    <w:rsid w:val="003E47DD"/>
  </w:style>
  <w:style w:type="character" w:customStyle="1" w:styleId="hps">
    <w:name w:val="hps"/>
    <w:basedOn w:val="Policepardfaut"/>
    <w:rsid w:val="002E7955"/>
  </w:style>
  <w:style w:type="paragraph" w:customStyle="1" w:styleId="spip">
    <w:name w:val="spip"/>
    <w:basedOn w:val="Normal"/>
    <w:rsid w:val="00C01948"/>
    <w:pPr>
      <w:spacing w:before="100" w:beforeAutospacing="1" w:after="100" w:afterAutospacing="1"/>
    </w:pPr>
  </w:style>
  <w:style w:type="character" w:customStyle="1" w:styleId="ft">
    <w:name w:val="ft"/>
    <w:basedOn w:val="Policepardfaut"/>
    <w:rsid w:val="006318FA"/>
  </w:style>
  <w:style w:type="paragraph" w:styleId="NormalWeb">
    <w:name w:val="Normal (Web)"/>
    <w:basedOn w:val="Normal"/>
    <w:rsid w:val="00B61A9F"/>
    <w:pPr>
      <w:spacing w:before="100" w:beforeAutospacing="1" w:after="100" w:afterAutospacing="1"/>
    </w:pPr>
  </w:style>
  <w:style w:type="character" w:styleId="CitationHTML">
    <w:name w:val="HTML Cite"/>
    <w:rsid w:val="00B61A9F"/>
    <w:rPr>
      <w:i/>
      <w:iCs/>
    </w:rPr>
  </w:style>
  <w:style w:type="paragraph" w:styleId="Pieddepage">
    <w:name w:val="footer"/>
    <w:basedOn w:val="Normal"/>
    <w:rsid w:val="00D90EC6"/>
    <w:pPr>
      <w:tabs>
        <w:tab w:val="center" w:pos="4536"/>
        <w:tab w:val="right" w:pos="9072"/>
      </w:tabs>
    </w:pPr>
  </w:style>
  <w:style w:type="character" w:styleId="Numrodepage">
    <w:name w:val="page number"/>
    <w:basedOn w:val="Policepardfaut"/>
    <w:rsid w:val="00D90EC6"/>
  </w:style>
  <w:style w:type="character" w:customStyle="1" w:styleId="shorttext">
    <w:name w:val="short_text"/>
    <w:basedOn w:val="Policepardfaut"/>
    <w:rsid w:val="00C70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BAC"/>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ccentuation">
    <w:name w:val="Emphasis"/>
    <w:qFormat/>
    <w:rsid w:val="00496BAC"/>
    <w:rPr>
      <w:rFonts w:cs="Times New Roman"/>
      <w:i/>
      <w:iCs/>
    </w:rPr>
  </w:style>
  <w:style w:type="character" w:styleId="lev">
    <w:name w:val="Strong"/>
    <w:qFormat/>
    <w:rsid w:val="00496BAC"/>
    <w:rPr>
      <w:rFonts w:cs="Times New Roman"/>
      <w:b/>
      <w:bCs/>
    </w:rPr>
  </w:style>
  <w:style w:type="character" w:styleId="Lienhypertexte">
    <w:name w:val="Hyperlink"/>
    <w:rsid w:val="00496BAC"/>
    <w:rPr>
      <w:rFonts w:cs="Times New Roman"/>
    </w:rPr>
  </w:style>
  <w:style w:type="paragraph" w:styleId="Retraitcorpsdetexte">
    <w:name w:val="Body Text Indent"/>
    <w:basedOn w:val="Normal"/>
    <w:rsid w:val="00FD5553"/>
    <w:pPr>
      <w:spacing w:after="120"/>
      <w:ind w:left="283"/>
    </w:pPr>
    <w:rPr>
      <w:rFonts w:eastAsia="SimSun"/>
      <w:lang w:eastAsia="zh-CN"/>
    </w:rPr>
  </w:style>
  <w:style w:type="character" w:customStyle="1" w:styleId="longtext1">
    <w:name w:val="long_text1"/>
    <w:rsid w:val="00FD5553"/>
    <w:rPr>
      <w:sz w:val="14"/>
      <w:szCs w:val="14"/>
    </w:rPr>
  </w:style>
  <w:style w:type="character" w:customStyle="1" w:styleId="shorttext1">
    <w:name w:val="short_text1"/>
    <w:rsid w:val="004D706A"/>
    <w:rPr>
      <w:sz w:val="20"/>
      <w:szCs w:val="20"/>
    </w:rPr>
  </w:style>
  <w:style w:type="paragraph" w:styleId="Corpsdetexte">
    <w:name w:val="Body Text"/>
    <w:basedOn w:val="Normal"/>
    <w:rsid w:val="00456D7D"/>
    <w:pPr>
      <w:spacing w:after="120"/>
    </w:pPr>
    <w:rPr>
      <w:rFonts w:eastAsia="SimSun"/>
      <w:lang w:eastAsia="zh-CN"/>
    </w:rPr>
  </w:style>
  <w:style w:type="table" w:styleId="Grilledutableau">
    <w:name w:val="Table Grid"/>
    <w:basedOn w:val="TableauNormal"/>
    <w:rsid w:val="007D2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Policepardfaut"/>
    <w:rsid w:val="003E47DD"/>
  </w:style>
  <w:style w:type="character" w:customStyle="1" w:styleId="hps">
    <w:name w:val="hps"/>
    <w:basedOn w:val="Policepardfaut"/>
    <w:rsid w:val="002E7955"/>
  </w:style>
  <w:style w:type="paragraph" w:customStyle="1" w:styleId="spip">
    <w:name w:val="spip"/>
    <w:basedOn w:val="Normal"/>
    <w:rsid w:val="00C01948"/>
    <w:pPr>
      <w:spacing w:before="100" w:beforeAutospacing="1" w:after="100" w:afterAutospacing="1"/>
    </w:pPr>
  </w:style>
  <w:style w:type="character" w:customStyle="1" w:styleId="ft">
    <w:name w:val="ft"/>
    <w:basedOn w:val="Policepardfaut"/>
    <w:rsid w:val="006318FA"/>
  </w:style>
  <w:style w:type="paragraph" w:styleId="NormalWeb">
    <w:name w:val="Normal (Web)"/>
    <w:basedOn w:val="Normal"/>
    <w:rsid w:val="00B61A9F"/>
    <w:pPr>
      <w:spacing w:before="100" w:beforeAutospacing="1" w:after="100" w:afterAutospacing="1"/>
    </w:pPr>
  </w:style>
  <w:style w:type="character" w:styleId="CitationHTML">
    <w:name w:val="HTML Cite"/>
    <w:rsid w:val="00B61A9F"/>
    <w:rPr>
      <w:i/>
      <w:iCs/>
    </w:rPr>
  </w:style>
  <w:style w:type="paragraph" w:styleId="Pieddepage">
    <w:name w:val="footer"/>
    <w:basedOn w:val="Normal"/>
    <w:rsid w:val="00D90EC6"/>
    <w:pPr>
      <w:tabs>
        <w:tab w:val="center" w:pos="4536"/>
        <w:tab w:val="right" w:pos="9072"/>
      </w:tabs>
    </w:pPr>
  </w:style>
  <w:style w:type="character" w:styleId="Numrodepage">
    <w:name w:val="page number"/>
    <w:basedOn w:val="Policepardfaut"/>
    <w:rsid w:val="00D90EC6"/>
  </w:style>
  <w:style w:type="character" w:customStyle="1" w:styleId="shorttext">
    <w:name w:val="short_text"/>
    <w:basedOn w:val="Policepardfaut"/>
    <w:rsid w:val="00C7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1474">
      <w:bodyDiv w:val="1"/>
      <w:marLeft w:val="0"/>
      <w:marRight w:val="0"/>
      <w:marTop w:val="0"/>
      <w:marBottom w:val="0"/>
      <w:divBdr>
        <w:top w:val="none" w:sz="0" w:space="0" w:color="auto"/>
        <w:left w:val="none" w:sz="0" w:space="0" w:color="auto"/>
        <w:bottom w:val="none" w:sz="0" w:space="0" w:color="auto"/>
        <w:right w:val="none" w:sz="0" w:space="0" w:color="auto"/>
      </w:divBdr>
      <w:divsChild>
        <w:div w:id="1851338165">
          <w:marLeft w:val="0"/>
          <w:marRight w:val="0"/>
          <w:marTop w:val="0"/>
          <w:marBottom w:val="0"/>
          <w:divBdr>
            <w:top w:val="none" w:sz="0" w:space="0" w:color="auto"/>
            <w:left w:val="none" w:sz="0" w:space="0" w:color="auto"/>
            <w:bottom w:val="none" w:sz="0" w:space="0" w:color="auto"/>
            <w:right w:val="none" w:sz="0" w:space="0" w:color="auto"/>
          </w:divBdr>
          <w:divsChild>
            <w:div w:id="1915583263">
              <w:marLeft w:val="0"/>
              <w:marRight w:val="0"/>
              <w:marTop w:val="46"/>
              <w:marBottom w:val="0"/>
              <w:divBdr>
                <w:top w:val="none" w:sz="0" w:space="0" w:color="auto"/>
                <w:left w:val="none" w:sz="0" w:space="0" w:color="auto"/>
                <w:bottom w:val="none" w:sz="0" w:space="0" w:color="auto"/>
                <w:right w:val="none" w:sz="0" w:space="0" w:color="auto"/>
              </w:divBdr>
              <w:divsChild>
                <w:div w:id="1928230970">
                  <w:marLeft w:val="0"/>
                  <w:marRight w:val="0"/>
                  <w:marTop w:val="0"/>
                  <w:marBottom w:val="0"/>
                  <w:divBdr>
                    <w:top w:val="single" w:sz="4" w:space="0" w:color="555555"/>
                    <w:left w:val="single" w:sz="4" w:space="0" w:color="555555"/>
                    <w:bottom w:val="single" w:sz="4" w:space="0" w:color="111111"/>
                    <w:right w:val="single" w:sz="4" w:space="0" w:color="000000"/>
                  </w:divBdr>
                  <w:divsChild>
                    <w:div w:id="187106824">
                      <w:marLeft w:val="0"/>
                      <w:marRight w:val="0"/>
                      <w:marTop w:val="0"/>
                      <w:marBottom w:val="0"/>
                      <w:divBdr>
                        <w:top w:val="none" w:sz="0" w:space="0" w:color="auto"/>
                        <w:left w:val="none" w:sz="0" w:space="0" w:color="auto"/>
                        <w:bottom w:val="none" w:sz="0" w:space="0" w:color="auto"/>
                        <w:right w:val="none" w:sz="0" w:space="0" w:color="auto"/>
                      </w:divBdr>
                      <w:divsChild>
                        <w:div w:id="648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639973">
      <w:bodyDiv w:val="1"/>
      <w:marLeft w:val="0"/>
      <w:marRight w:val="0"/>
      <w:marTop w:val="0"/>
      <w:marBottom w:val="0"/>
      <w:divBdr>
        <w:top w:val="none" w:sz="0" w:space="0" w:color="auto"/>
        <w:left w:val="none" w:sz="0" w:space="0" w:color="auto"/>
        <w:bottom w:val="none" w:sz="0" w:space="0" w:color="auto"/>
        <w:right w:val="none" w:sz="0" w:space="0" w:color="auto"/>
      </w:divBdr>
      <w:divsChild>
        <w:div w:id="1299917237">
          <w:marLeft w:val="0"/>
          <w:marRight w:val="0"/>
          <w:marTop w:val="0"/>
          <w:marBottom w:val="0"/>
          <w:divBdr>
            <w:top w:val="none" w:sz="0" w:space="0" w:color="auto"/>
            <w:left w:val="none" w:sz="0" w:space="0" w:color="auto"/>
            <w:bottom w:val="none" w:sz="0" w:space="0" w:color="auto"/>
            <w:right w:val="none" w:sz="0" w:space="0" w:color="auto"/>
          </w:divBdr>
          <w:divsChild>
            <w:div w:id="667637992">
              <w:marLeft w:val="0"/>
              <w:marRight w:val="0"/>
              <w:marTop w:val="0"/>
              <w:marBottom w:val="0"/>
              <w:divBdr>
                <w:top w:val="none" w:sz="0" w:space="0" w:color="auto"/>
                <w:left w:val="none" w:sz="0" w:space="0" w:color="auto"/>
                <w:bottom w:val="none" w:sz="0" w:space="0" w:color="auto"/>
                <w:right w:val="none" w:sz="0" w:space="0" w:color="auto"/>
              </w:divBdr>
              <w:divsChild>
                <w:div w:id="1955285475">
                  <w:marLeft w:val="0"/>
                  <w:marRight w:val="0"/>
                  <w:marTop w:val="0"/>
                  <w:marBottom w:val="0"/>
                  <w:divBdr>
                    <w:top w:val="none" w:sz="0" w:space="0" w:color="auto"/>
                    <w:left w:val="none" w:sz="0" w:space="0" w:color="auto"/>
                    <w:bottom w:val="none" w:sz="0" w:space="0" w:color="auto"/>
                    <w:right w:val="none" w:sz="0" w:space="0" w:color="auto"/>
                  </w:divBdr>
                  <w:divsChild>
                    <w:div w:id="2004040324">
                      <w:marLeft w:val="0"/>
                      <w:marRight w:val="0"/>
                      <w:marTop w:val="0"/>
                      <w:marBottom w:val="0"/>
                      <w:divBdr>
                        <w:top w:val="none" w:sz="0" w:space="0" w:color="auto"/>
                        <w:left w:val="none" w:sz="0" w:space="0" w:color="auto"/>
                        <w:bottom w:val="none" w:sz="0" w:space="0" w:color="auto"/>
                        <w:right w:val="none" w:sz="0" w:space="0" w:color="auto"/>
                      </w:divBdr>
                      <w:divsChild>
                        <w:div w:id="1854567362">
                          <w:marLeft w:val="0"/>
                          <w:marRight w:val="0"/>
                          <w:marTop w:val="0"/>
                          <w:marBottom w:val="0"/>
                          <w:divBdr>
                            <w:top w:val="none" w:sz="0" w:space="0" w:color="auto"/>
                            <w:left w:val="none" w:sz="0" w:space="0" w:color="auto"/>
                            <w:bottom w:val="none" w:sz="0" w:space="0" w:color="auto"/>
                            <w:right w:val="none" w:sz="0" w:space="0" w:color="auto"/>
                          </w:divBdr>
                          <w:divsChild>
                            <w:div w:id="56048930">
                              <w:marLeft w:val="0"/>
                              <w:marRight w:val="0"/>
                              <w:marTop w:val="0"/>
                              <w:marBottom w:val="0"/>
                              <w:divBdr>
                                <w:top w:val="none" w:sz="0" w:space="0" w:color="auto"/>
                                <w:left w:val="none" w:sz="0" w:space="0" w:color="auto"/>
                                <w:bottom w:val="none" w:sz="0" w:space="0" w:color="auto"/>
                                <w:right w:val="none" w:sz="0" w:space="0" w:color="auto"/>
                              </w:divBdr>
                              <w:divsChild>
                                <w:div w:id="637033895">
                                  <w:marLeft w:val="0"/>
                                  <w:marRight w:val="0"/>
                                  <w:marTop w:val="0"/>
                                  <w:marBottom w:val="0"/>
                                  <w:divBdr>
                                    <w:top w:val="single" w:sz="4" w:space="0" w:color="F5F5F5"/>
                                    <w:left w:val="single" w:sz="4" w:space="0" w:color="F5F5F5"/>
                                    <w:bottom w:val="single" w:sz="4" w:space="0" w:color="F5F5F5"/>
                                    <w:right w:val="single" w:sz="4" w:space="0" w:color="F5F5F5"/>
                                  </w:divBdr>
                                  <w:divsChild>
                                    <w:div w:id="239828805">
                                      <w:marLeft w:val="0"/>
                                      <w:marRight w:val="0"/>
                                      <w:marTop w:val="0"/>
                                      <w:marBottom w:val="0"/>
                                      <w:divBdr>
                                        <w:top w:val="none" w:sz="0" w:space="0" w:color="auto"/>
                                        <w:left w:val="none" w:sz="0" w:space="0" w:color="auto"/>
                                        <w:bottom w:val="none" w:sz="0" w:space="0" w:color="auto"/>
                                        <w:right w:val="none" w:sz="0" w:space="0" w:color="auto"/>
                                      </w:divBdr>
                                      <w:divsChild>
                                        <w:div w:id="1872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259666">
      <w:bodyDiv w:val="1"/>
      <w:marLeft w:val="0"/>
      <w:marRight w:val="0"/>
      <w:marTop w:val="0"/>
      <w:marBottom w:val="0"/>
      <w:divBdr>
        <w:top w:val="none" w:sz="0" w:space="0" w:color="auto"/>
        <w:left w:val="none" w:sz="0" w:space="0" w:color="auto"/>
        <w:bottom w:val="none" w:sz="0" w:space="0" w:color="auto"/>
        <w:right w:val="none" w:sz="0" w:space="0" w:color="auto"/>
      </w:divBdr>
      <w:divsChild>
        <w:div w:id="1098596434">
          <w:marLeft w:val="0"/>
          <w:marRight w:val="0"/>
          <w:marTop w:val="0"/>
          <w:marBottom w:val="0"/>
          <w:divBdr>
            <w:top w:val="none" w:sz="0" w:space="0" w:color="auto"/>
            <w:left w:val="none" w:sz="0" w:space="0" w:color="auto"/>
            <w:bottom w:val="none" w:sz="0" w:space="0" w:color="auto"/>
            <w:right w:val="none" w:sz="0" w:space="0" w:color="auto"/>
          </w:divBdr>
          <w:divsChild>
            <w:div w:id="1107777894">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251306405">
                      <w:marLeft w:val="0"/>
                      <w:marRight w:val="0"/>
                      <w:marTop w:val="0"/>
                      <w:marBottom w:val="0"/>
                      <w:divBdr>
                        <w:top w:val="none" w:sz="0" w:space="0" w:color="auto"/>
                        <w:left w:val="none" w:sz="0" w:space="0" w:color="auto"/>
                        <w:bottom w:val="none" w:sz="0" w:space="0" w:color="auto"/>
                        <w:right w:val="none" w:sz="0" w:space="0" w:color="auto"/>
                      </w:divBdr>
                      <w:divsChild>
                        <w:div w:id="2054578471">
                          <w:marLeft w:val="0"/>
                          <w:marRight w:val="0"/>
                          <w:marTop w:val="0"/>
                          <w:marBottom w:val="0"/>
                          <w:divBdr>
                            <w:top w:val="none" w:sz="0" w:space="0" w:color="auto"/>
                            <w:left w:val="none" w:sz="0" w:space="0" w:color="auto"/>
                            <w:bottom w:val="none" w:sz="0" w:space="0" w:color="auto"/>
                            <w:right w:val="none" w:sz="0" w:space="0" w:color="auto"/>
                          </w:divBdr>
                          <w:divsChild>
                            <w:div w:id="870842371">
                              <w:marLeft w:val="0"/>
                              <w:marRight w:val="0"/>
                              <w:marTop w:val="0"/>
                              <w:marBottom w:val="0"/>
                              <w:divBdr>
                                <w:top w:val="none" w:sz="0" w:space="0" w:color="auto"/>
                                <w:left w:val="none" w:sz="0" w:space="0" w:color="auto"/>
                                <w:bottom w:val="none" w:sz="0" w:space="0" w:color="auto"/>
                                <w:right w:val="none" w:sz="0" w:space="0" w:color="auto"/>
                              </w:divBdr>
                              <w:divsChild>
                                <w:div w:id="15367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56786">
      <w:bodyDiv w:val="1"/>
      <w:marLeft w:val="0"/>
      <w:marRight w:val="0"/>
      <w:marTop w:val="0"/>
      <w:marBottom w:val="0"/>
      <w:divBdr>
        <w:top w:val="none" w:sz="0" w:space="0" w:color="auto"/>
        <w:left w:val="none" w:sz="0" w:space="0" w:color="auto"/>
        <w:bottom w:val="none" w:sz="0" w:space="0" w:color="auto"/>
        <w:right w:val="none" w:sz="0" w:space="0" w:color="auto"/>
      </w:divBdr>
      <w:divsChild>
        <w:div w:id="1240485264">
          <w:marLeft w:val="0"/>
          <w:marRight w:val="0"/>
          <w:marTop w:val="0"/>
          <w:marBottom w:val="0"/>
          <w:divBdr>
            <w:top w:val="none" w:sz="0" w:space="0" w:color="auto"/>
            <w:left w:val="none" w:sz="0" w:space="0" w:color="auto"/>
            <w:bottom w:val="none" w:sz="0" w:space="0" w:color="auto"/>
            <w:right w:val="none" w:sz="0" w:space="0" w:color="auto"/>
          </w:divBdr>
          <w:divsChild>
            <w:div w:id="1394692714">
              <w:marLeft w:val="0"/>
              <w:marRight w:val="0"/>
              <w:marTop w:val="0"/>
              <w:marBottom w:val="0"/>
              <w:divBdr>
                <w:top w:val="none" w:sz="0" w:space="0" w:color="auto"/>
                <w:left w:val="none" w:sz="0" w:space="0" w:color="auto"/>
                <w:bottom w:val="none" w:sz="0" w:space="0" w:color="auto"/>
                <w:right w:val="none" w:sz="0" w:space="0" w:color="auto"/>
              </w:divBdr>
              <w:divsChild>
                <w:div w:id="1420175995">
                  <w:marLeft w:val="0"/>
                  <w:marRight w:val="0"/>
                  <w:marTop w:val="0"/>
                  <w:marBottom w:val="0"/>
                  <w:divBdr>
                    <w:top w:val="none" w:sz="0" w:space="0" w:color="auto"/>
                    <w:left w:val="none" w:sz="0" w:space="0" w:color="auto"/>
                    <w:bottom w:val="none" w:sz="0" w:space="0" w:color="auto"/>
                    <w:right w:val="none" w:sz="0" w:space="0" w:color="auto"/>
                  </w:divBdr>
                  <w:divsChild>
                    <w:div w:id="158694564">
                      <w:marLeft w:val="0"/>
                      <w:marRight w:val="0"/>
                      <w:marTop w:val="0"/>
                      <w:marBottom w:val="0"/>
                      <w:divBdr>
                        <w:top w:val="none" w:sz="0" w:space="0" w:color="auto"/>
                        <w:left w:val="none" w:sz="0" w:space="0" w:color="auto"/>
                        <w:bottom w:val="none" w:sz="0" w:space="0" w:color="auto"/>
                        <w:right w:val="none" w:sz="0" w:space="0" w:color="auto"/>
                      </w:divBdr>
                      <w:divsChild>
                        <w:div w:id="1406798565">
                          <w:marLeft w:val="0"/>
                          <w:marRight w:val="0"/>
                          <w:marTop w:val="0"/>
                          <w:marBottom w:val="0"/>
                          <w:divBdr>
                            <w:top w:val="none" w:sz="0" w:space="0" w:color="auto"/>
                            <w:left w:val="none" w:sz="0" w:space="0" w:color="auto"/>
                            <w:bottom w:val="none" w:sz="0" w:space="0" w:color="auto"/>
                            <w:right w:val="none" w:sz="0" w:space="0" w:color="auto"/>
                          </w:divBdr>
                          <w:divsChild>
                            <w:div w:id="421731419">
                              <w:marLeft w:val="0"/>
                              <w:marRight w:val="0"/>
                              <w:marTop w:val="0"/>
                              <w:marBottom w:val="0"/>
                              <w:divBdr>
                                <w:top w:val="none" w:sz="0" w:space="0" w:color="auto"/>
                                <w:left w:val="none" w:sz="0" w:space="0" w:color="auto"/>
                                <w:bottom w:val="none" w:sz="0" w:space="0" w:color="auto"/>
                                <w:right w:val="none" w:sz="0" w:space="0" w:color="auto"/>
                              </w:divBdr>
                              <w:divsChild>
                                <w:div w:id="878012724">
                                  <w:marLeft w:val="0"/>
                                  <w:marRight w:val="0"/>
                                  <w:marTop w:val="0"/>
                                  <w:marBottom w:val="0"/>
                                  <w:divBdr>
                                    <w:top w:val="single" w:sz="4" w:space="0" w:color="F5F5F5"/>
                                    <w:left w:val="single" w:sz="4" w:space="0" w:color="F5F5F5"/>
                                    <w:bottom w:val="single" w:sz="4" w:space="0" w:color="F5F5F5"/>
                                    <w:right w:val="single" w:sz="4" w:space="0" w:color="F5F5F5"/>
                                  </w:divBdr>
                                  <w:divsChild>
                                    <w:div w:id="285703638">
                                      <w:marLeft w:val="0"/>
                                      <w:marRight w:val="0"/>
                                      <w:marTop w:val="0"/>
                                      <w:marBottom w:val="0"/>
                                      <w:divBdr>
                                        <w:top w:val="none" w:sz="0" w:space="0" w:color="auto"/>
                                        <w:left w:val="none" w:sz="0" w:space="0" w:color="auto"/>
                                        <w:bottom w:val="none" w:sz="0" w:space="0" w:color="auto"/>
                                        <w:right w:val="none" w:sz="0" w:space="0" w:color="auto"/>
                                      </w:divBdr>
                                      <w:divsChild>
                                        <w:div w:id="1907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63503">
      <w:bodyDiv w:val="1"/>
      <w:marLeft w:val="5"/>
      <w:marRight w:val="15"/>
      <w:marTop w:val="0"/>
      <w:marBottom w:val="0"/>
      <w:divBdr>
        <w:top w:val="none" w:sz="0" w:space="0" w:color="auto"/>
        <w:left w:val="none" w:sz="0" w:space="0" w:color="auto"/>
        <w:bottom w:val="none" w:sz="0" w:space="0" w:color="auto"/>
        <w:right w:val="none" w:sz="0" w:space="0" w:color="auto"/>
      </w:divBdr>
    </w:div>
    <w:div w:id="926233365">
      <w:bodyDiv w:val="1"/>
      <w:marLeft w:val="0"/>
      <w:marRight w:val="0"/>
      <w:marTop w:val="0"/>
      <w:marBottom w:val="0"/>
      <w:divBdr>
        <w:top w:val="none" w:sz="0" w:space="0" w:color="auto"/>
        <w:left w:val="none" w:sz="0" w:space="0" w:color="auto"/>
        <w:bottom w:val="none" w:sz="0" w:space="0" w:color="auto"/>
        <w:right w:val="none" w:sz="0" w:space="0" w:color="auto"/>
      </w:divBdr>
      <w:divsChild>
        <w:div w:id="628784562">
          <w:marLeft w:val="0"/>
          <w:marRight w:val="0"/>
          <w:marTop w:val="0"/>
          <w:marBottom w:val="0"/>
          <w:divBdr>
            <w:top w:val="none" w:sz="0" w:space="0" w:color="auto"/>
            <w:left w:val="none" w:sz="0" w:space="0" w:color="auto"/>
            <w:bottom w:val="none" w:sz="0" w:space="0" w:color="auto"/>
            <w:right w:val="none" w:sz="0" w:space="0" w:color="auto"/>
          </w:divBdr>
          <w:divsChild>
            <w:div w:id="2044861029">
              <w:marLeft w:val="0"/>
              <w:marRight w:val="0"/>
              <w:marTop w:val="0"/>
              <w:marBottom w:val="0"/>
              <w:divBdr>
                <w:top w:val="none" w:sz="0" w:space="0" w:color="auto"/>
                <w:left w:val="none" w:sz="0" w:space="0" w:color="auto"/>
                <w:bottom w:val="none" w:sz="0" w:space="0" w:color="auto"/>
                <w:right w:val="none" w:sz="0" w:space="0" w:color="auto"/>
              </w:divBdr>
              <w:divsChild>
                <w:div w:id="231089935">
                  <w:marLeft w:val="0"/>
                  <w:marRight w:val="0"/>
                  <w:marTop w:val="0"/>
                  <w:marBottom w:val="0"/>
                  <w:divBdr>
                    <w:top w:val="none" w:sz="0" w:space="0" w:color="auto"/>
                    <w:left w:val="none" w:sz="0" w:space="0" w:color="auto"/>
                    <w:bottom w:val="none" w:sz="0" w:space="0" w:color="auto"/>
                    <w:right w:val="none" w:sz="0" w:space="0" w:color="auto"/>
                  </w:divBdr>
                  <w:divsChild>
                    <w:div w:id="1992758360">
                      <w:marLeft w:val="0"/>
                      <w:marRight w:val="0"/>
                      <w:marTop w:val="0"/>
                      <w:marBottom w:val="0"/>
                      <w:divBdr>
                        <w:top w:val="none" w:sz="0" w:space="0" w:color="auto"/>
                        <w:left w:val="none" w:sz="0" w:space="0" w:color="auto"/>
                        <w:bottom w:val="none" w:sz="0" w:space="0" w:color="auto"/>
                        <w:right w:val="none" w:sz="0" w:space="0" w:color="auto"/>
                      </w:divBdr>
                      <w:divsChild>
                        <w:div w:id="1297562424">
                          <w:marLeft w:val="0"/>
                          <w:marRight w:val="0"/>
                          <w:marTop w:val="0"/>
                          <w:marBottom w:val="0"/>
                          <w:divBdr>
                            <w:top w:val="none" w:sz="0" w:space="0" w:color="auto"/>
                            <w:left w:val="none" w:sz="0" w:space="0" w:color="auto"/>
                            <w:bottom w:val="none" w:sz="0" w:space="0" w:color="auto"/>
                            <w:right w:val="none" w:sz="0" w:space="0" w:color="auto"/>
                          </w:divBdr>
                          <w:divsChild>
                            <w:div w:id="459954094">
                              <w:marLeft w:val="0"/>
                              <w:marRight w:val="0"/>
                              <w:marTop w:val="0"/>
                              <w:marBottom w:val="0"/>
                              <w:divBdr>
                                <w:top w:val="none" w:sz="0" w:space="0" w:color="auto"/>
                                <w:left w:val="none" w:sz="0" w:space="0" w:color="auto"/>
                                <w:bottom w:val="none" w:sz="0" w:space="0" w:color="auto"/>
                                <w:right w:val="none" w:sz="0" w:space="0" w:color="auto"/>
                              </w:divBdr>
                              <w:divsChild>
                                <w:div w:id="1991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35821">
      <w:bodyDiv w:val="1"/>
      <w:marLeft w:val="0"/>
      <w:marRight w:val="0"/>
      <w:marTop w:val="0"/>
      <w:marBottom w:val="0"/>
      <w:divBdr>
        <w:top w:val="none" w:sz="0" w:space="0" w:color="auto"/>
        <w:left w:val="none" w:sz="0" w:space="0" w:color="auto"/>
        <w:bottom w:val="none" w:sz="0" w:space="0" w:color="auto"/>
        <w:right w:val="none" w:sz="0" w:space="0" w:color="auto"/>
      </w:divBdr>
      <w:divsChild>
        <w:div w:id="837617706">
          <w:marLeft w:val="0"/>
          <w:marRight w:val="0"/>
          <w:marTop w:val="0"/>
          <w:marBottom w:val="0"/>
          <w:divBdr>
            <w:top w:val="none" w:sz="0" w:space="0" w:color="auto"/>
            <w:left w:val="none" w:sz="0" w:space="0" w:color="auto"/>
            <w:bottom w:val="none" w:sz="0" w:space="0" w:color="auto"/>
            <w:right w:val="none" w:sz="0" w:space="0" w:color="auto"/>
          </w:divBdr>
          <w:divsChild>
            <w:div w:id="278414959">
              <w:marLeft w:val="0"/>
              <w:marRight w:val="0"/>
              <w:marTop w:val="0"/>
              <w:marBottom w:val="0"/>
              <w:divBdr>
                <w:top w:val="none" w:sz="0" w:space="0" w:color="auto"/>
                <w:left w:val="none" w:sz="0" w:space="0" w:color="auto"/>
                <w:bottom w:val="none" w:sz="0" w:space="0" w:color="auto"/>
                <w:right w:val="none" w:sz="0" w:space="0" w:color="auto"/>
              </w:divBdr>
              <w:divsChild>
                <w:div w:id="836265808">
                  <w:marLeft w:val="0"/>
                  <w:marRight w:val="0"/>
                  <w:marTop w:val="0"/>
                  <w:marBottom w:val="0"/>
                  <w:divBdr>
                    <w:top w:val="none" w:sz="0" w:space="0" w:color="auto"/>
                    <w:left w:val="none" w:sz="0" w:space="0" w:color="auto"/>
                    <w:bottom w:val="none" w:sz="0" w:space="0" w:color="auto"/>
                    <w:right w:val="none" w:sz="0" w:space="0" w:color="auto"/>
                  </w:divBdr>
                  <w:divsChild>
                    <w:div w:id="681126432">
                      <w:marLeft w:val="0"/>
                      <w:marRight w:val="0"/>
                      <w:marTop w:val="0"/>
                      <w:marBottom w:val="0"/>
                      <w:divBdr>
                        <w:top w:val="none" w:sz="0" w:space="0" w:color="auto"/>
                        <w:left w:val="none" w:sz="0" w:space="0" w:color="auto"/>
                        <w:bottom w:val="none" w:sz="0" w:space="0" w:color="auto"/>
                        <w:right w:val="none" w:sz="0" w:space="0" w:color="auto"/>
                      </w:divBdr>
                      <w:divsChild>
                        <w:div w:id="17246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39619">
      <w:bodyDiv w:val="1"/>
      <w:marLeft w:val="0"/>
      <w:marRight w:val="0"/>
      <w:marTop w:val="0"/>
      <w:marBottom w:val="0"/>
      <w:divBdr>
        <w:top w:val="none" w:sz="0" w:space="0" w:color="auto"/>
        <w:left w:val="none" w:sz="0" w:space="0" w:color="auto"/>
        <w:bottom w:val="none" w:sz="0" w:space="0" w:color="auto"/>
        <w:right w:val="none" w:sz="0" w:space="0" w:color="auto"/>
      </w:divBdr>
      <w:divsChild>
        <w:div w:id="1021051102">
          <w:marLeft w:val="0"/>
          <w:marRight w:val="0"/>
          <w:marTop w:val="0"/>
          <w:marBottom w:val="0"/>
          <w:divBdr>
            <w:top w:val="none" w:sz="0" w:space="0" w:color="auto"/>
            <w:left w:val="none" w:sz="0" w:space="0" w:color="auto"/>
            <w:bottom w:val="none" w:sz="0" w:space="0" w:color="auto"/>
            <w:right w:val="none" w:sz="0" w:space="0" w:color="auto"/>
          </w:divBdr>
          <w:divsChild>
            <w:div w:id="331219646">
              <w:marLeft w:val="0"/>
              <w:marRight w:val="0"/>
              <w:marTop w:val="0"/>
              <w:marBottom w:val="0"/>
              <w:divBdr>
                <w:top w:val="none" w:sz="0" w:space="0" w:color="auto"/>
                <w:left w:val="none" w:sz="0" w:space="0" w:color="auto"/>
                <w:bottom w:val="none" w:sz="0" w:space="0" w:color="auto"/>
                <w:right w:val="none" w:sz="0" w:space="0" w:color="auto"/>
              </w:divBdr>
              <w:divsChild>
                <w:div w:id="2112505084">
                  <w:marLeft w:val="0"/>
                  <w:marRight w:val="0"/>
                  <w:marTop w:val="0"/>
                  <w:marBottom w:val="0"/>
                  <w:divBdr>
                    <w:top w:val="none" w:sz="0" w:space="0" w:color="auto"/>
                    <w:left w:val="none" w:sz="0" w:space="0" w:color="auto"/>
                    <w:bottom w:val="none" w:sz="0" w:space="0" w:color="auto"/>
                    <w:right w:val="none" w:sz="0" w:space="0" w:color="auto"/>
                  </w:divBdr>
                  <w:divsChild>
                    <w:div w:id="444544998">
                      <w:marLeft w:val="0"/>
                      <w:marRight w:val="0"/>
                      <w:marTop w:val="0"/>
                      <w:marBottom w:val="0"/>
                      <w:divBdr>
                        <w:top w:val="none" w:sz="0" w:space="0" w:color="auto"/>
                        <w:left w:val="none" w:sz="0" w:space="0" w:color="auto"/>
                        <w:bottom w:val="none" w:sz="0" w:space="0" w:color="auto"/>
                        <w:right w:val="none" w:sz="0" w:space="0" w:color="auto"/>
                      </w:divBdr>
                      <w:divsChild>
                        <w:div w:id="2086757340">
                          <w:marLeft w:val="0"/>
                          <w:marRight w:val="0"/>
                          <w:marTop w:val="0"/>
                          <w:marBottom w:val="0"/>
                          <w:divBdr>
                            <w:top w:val="none" w:sz="0" w:space="0" w:color="auto"/>
                            <w:left w:val="none" w:sz="0" w:space="0" w:color="auto"/>
                            <w:bottom w:val="none" w:sz="0" w:space="0" w:color="auto"/>
                            <w:right w:val="none" w:sz="0" w:space="0" w:color="auto"/>
                          </w:divBdr>
                          <w:divsChild>
                            <w:div w:id="485976181">
                              <w:marLeft w:val="0"/>
                              <w:marRight w:val="0"/>
                              <w:marTop w:val="0"/>
                              <w:marBottom w:val="0"/>
                              <w:divBdr>
                                <w:top w:val="none" w:sz="0" w:space="0" w:color="auto"/>
                                <w:left w:val="none" w:sz="0" w:space="0" w:color="auto"/>
                                <w:bottom w:val="none" w:sz="0" w:space="0" w:color="auto"/>
                                <w:right w:val="none" w:sz="0" w:space="0" w:color="auto"/>
                              </w:divBdr>
                              <w:divsChild>
                                <w:div w:id="1020467893">
                                  <w:marLeft w:val="0"/>
                                  <w:marRight w:val="0"/>
                                  <w:marTop w:val="0"/>
                                  <w:marBottom w:val="0"/>
                                  <w:divBdr>
                                    <w:top w:val="single" w:sz="4" w:space="0" w:color="F5F5F5"/>
                                    <w:left w:val="single" w:sz="4" w:space="0" w:color="F5F5F5"/>
                                    <w:bottom w:val="single" w:sz="4" w:space="0" w:color="F5F5F5"/>
                                    <w:right w:val="single" w:sz="4" w:space="0" w:color="F5F5F5"/>
                                  </w:divBdr>
                                  <w:divsChild>
                                    <w:div w:id="931281779">
                                      <w:marLeft w:val="0"/>
                                      <w:marRight w:val="0"/>
                                      <w:marTop w:val="0"/>
                                      <w:marBottom w:val="0"/>
                                      <w:divBdr>
                                        <w:top w:val="none" w:sz="0" w:space="0" w:color="auto"/>
                                        <w:left w:val="none" w:sz="0" w:space="0" w:color="auto"/>
                                        <w:bottom w:val="none" w:sz="0" w:space="0" w:color="auto"/>
                                        <w:right w:val="none" w:sz="0" w:space="0" w:color="auto"/>
                                      </w:divBdr>
                                      <w:divsChild>
                                        <w:div w:id="147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34178">
      <w:bodyDiv w:val="1"/>
      <w:marLeft w:val="0"/>
      <w:marRight w:val="0"/>
      <w:marTop w:val="0"/>
      <w:marBottom w:val="0"/>
      <w:divBdr>
        <w:top w:val="none" w:sz="0" w:space="0" w:color="auto"/>
        <w:left w:val="none" w:sz="0" w:space="0" w:color="auto"/>
        <w:bottom w:val="none" w:sz="0" w:space="0" w:color="auto"/>
        <w:right w:val="none" w:sz="0" w:space="0" w:color="auto"/>
      </w:divBdr>
      <w:divsChild>
        <w:div w:id="271517339">
          <w:marLeft w:val="0"/>
          <w:marRight w:val="0"/>
          <w:marTop w:val="0"/>
          <w:marBottom w:val="0"/>
          <w:divBdr>
            <w:top w:val="none" w:sz="0" w:space="0" w:color="auto"/>
            <w:left w:val="none" w:sz="0" w:space="0" w:color="auto"/>
            <w:bottom w:val="none" w:sz="0" w:space="0" w:color="auto"/>
            <w:right w:val="none" w:sz="0" w:space="0" w:color="auto"/>
          </w:divBdr>
        </w:div>
      </w:divsChild>
    </w:div>
    <w:div w:id="1898588712">
      <w:bodyDiv w:val="1"/>
      <w:marLeft w:val="0"/>
      <w:marRight w:val="0"/>
      <w:marTop w:val="0"/>
      <w:marBottom w:val="0"/>
      <w:divBdr>
        <w:top w:val="none" w:sz="0" w:space="0" w:color="auto"/>
        <w:left w:val="none" w:sz="0" w:space="0" w:color="auto"/>
        <w:bottom w:val="none" w:sz="0" w:space="0" w:color="auto"/>
        <w:right w:val="none" w:sz="0" w:space="0" w:color="auto"/>
      </w:divBdr>
      <w:divsChild>
        <w:div w:id="14501359">
          <w:marLeft w:val="0"/>
          <w:marRight w:val="0"/>
          <w:marTop w:val="0"/>
          <w:marBottom w:val="0"/>
          <w:divBdr>
            <w:top w:val="none" w:sz="0" w:space="0" w:color="auto"/>
            <w:left w:val="none" w:sz="0" w:space="0" w:color="auto"/>
            <w:bottom w:val="none" w:sz="0" w:space="0" w:color="auto"/>
            <w:right w:val="none" w:sz="0" w:space="0" w:color="auto"/>
          </w:divBdr>
          <w:divsChild>
            <w:div w:id="294604222">
              <w:marLeft w:val="0"/>
              <w:marRight w:val="0"/>
              <w:marTop w:val="0"/>
              <w:marBottom w:val="0"/>
              <w:divBdr>
                <w:top w:val="none" w:sz="0" w:space="0" w:color="auto"/>
                <w:left w:val="none" w:sz="0" w:space="0" w:color="auto"/>
                <w:bottom w:val="none" w:sz="0" w:space="0" w:color="auto"/>
                <w:right w:val="none" w:sz="0" w:space="0" w:color="auto"/>
              </w:divBdr>
              <w:divsChild>
                <w:div w:id="34933284">
                  <w:marLeft w:val="0"/>
                  <w:marRight w:val="0"/>
                  <w:marTop w:val="0"/>
                  <w:marBottom w:val="0"/>
                  <w:divBdr>
                    <w:top w:val="none" w:sz="0" w:space="0" w:color="auto"/>
                    <w:left w:val="none" w:sz="0" w:space="0" w:color="auto"/>
                    <w:bottom w:val="none" w:sz="0" w:space="0" w:color="auto"/>
                    <w:right w:val="none" w:sz="0" w:space="0" w:color="auto"/>
                  </w:divBdr>
                  <w:divsChild>
                    <w:div w:id="1212771015">
                      <w:marLeft w:val="0"/>
                      <w:marRight w:val="0"/>
                      <w:marTop w:val="0"/>
                      <w:marBottom w:val="0"/>
                      <w:divBdr>
                        <w:top w:val="single" w:sz="18" w:space="0" w:color="E8E8E8"/>
                        <w:left w:val="none" w:sz="0" w:space="0" w:color="auto"/>
                        <w:bottom w:val="none" w:sz="0" w:space="0" w:color="auto"/>
                        <w:right w:val="none" w:sz="0" w:space="0" w:color="auto"/>
                      </w:divBdr>
                      <w:divsChild>
                        <w:div w:id="746459526">
                          <w:marLeft w:val="0"/>
                          <w:marRight w:val="4159"/>
                          <w:marTop w:val="0"/>
                          <w:marBottom w:val="0"/>
                          <w:divBdr>
                            <w:top w:val="none" w:sz="0" w:space="0" w:color="auto"/>
                            <w:left w:val="none" w:sz="0" w:space="0" w:color="auto"/>
                            <w:bottom w:val="none" w:sz="0" w:space="0" w:color="auto"/>
                            <w:right w:val="none" w:sz="0" w:space="0" w:color="auto"/>
                          </w:divBdr>
                          <w:divsChild>
                            <w:div w:id="1821381618">
                              <w:marLeft w:val="0"/>
                              <w:marRight w:val="0"/>
                              <w:marTop w:val="0"/>
                              <w:marBottom w:val="0"/>
                              <w:divBdr>
                                <w:top w:val="none" w:sz="0" w:space="0" w:color="auto"/>
                                <w:left w:val="none" w:sz="0" w:space="0" w:color="auto"/>
                                <w:bottom w:val="none" w:sz="0" w:space="0" w:color="auto"/>
                                <w:right w:val="none" w:sz="0" w:space="0" w:color="auto"/>
                              </w:divBdr>
                              <w:divsChild>
                                <w:div w:id="81295171">
                                  <w:marLeft w:val="0"/>
                                  <w:marRight w:val="0"/>
                                  <w:marTop w:val="0"/>
                                  <w:marBottom w:val="0"/>
                                  <w:divBdr>
                                    <w:top w:val="single" w:sz="4" w:space="0" w:color="FFFFFF"/>
                                    <w:left w:val="none" w:sz="0" w:space="0" w:color="auto"/>
                                    <w:bottom w:val="none" w:sz="0" w:space="0" w:color="auto"/>
                                    <w:right w:val="none" w:sz="0" w:space="0" w:color="auto"/>
                                  </w:divBdr>
                                  <w:divsChild>
                                    <w:div w:id="1206332719">
                                      <w:marLeft w:val="0"/>
                                      <w:marRight w:val="0"/>
                                      <w:marTop w:val="0"/>
                                      <w:marBottom w:val="0"/>
                                      <w:divBdr>
                                        <w:top w:val="none" w:sz="0" w:space="0" w:color="auto"/>
                                        <w:left w:val="none" w:sz="0" w:space="0" w:color="auto"/>
                                        <w:bottom w:val="none" w:sz="0" w:space="0" w:color="auto"/>
                                        <w:right w:val="none" w:sz="0" w:space="0" w:color="auto"/>
                                      </w:divBdr>
                                      <w:divsChild>
                                        <w:div w:id="83115868">
                                          <w:marLeft w:val="0"/>
                                          <w:marRight w:val="0"/>
                                          <w:marTop w:val="0"/>
                                          <w:marBottom w:val="0"/>
                                          <w:divBdr>
                                            <w:top w:val="none" w:sz="0" w:space="0" w:color="auto"/>
                                            <w:left w:val="none" w:sz="0" w:space="0" w:color="auto"/>
                                            <w:bottom w:val="none" w:sz="0" w:space="0" w:color="auto"/>
                                            <w:right w:val="none" w:sz="0" w:space="0" w:color="auto"/>
                                          </w:divBdr>
                                          <w:divsChild>
                                            <w:div w:id="2045666401">
                                              <w:marLeft w:val="0"/>
                                              <w:marRight w:val="0"/>
                                              <w:marTop w:val="0"/>
                                              <w:marBottom w:val="0"/>
                                              <w:divBdr>
                                                <w:top w:val="none" w:sz="0" w:space="0" w:color="auto"/>
                                                <w:left w:val="none" w:sz="0" w:space="0" w:color="auto"/>
                                                <w:bottom w:val="none" w:sz="0" w:space="0" w:color="auto"/>
                                                <w:right w:val="none" w:sz="0" w:space="0" w:color="auto"/>
                                              </w:divBdr>
                                              <w:divsChild>
                                                <w:div w:id="1085371760">
                                                  <w:marLeft w:val="35"/>
                                                  <w:marRight w:val="58"/>
                                                  <w:marTop w:val="0"/>
                                                  <w:marBottom w:val="0"/>
                                                  <w:divBdr>
                                                    <w:top w:val="none" w:sz="0" w:space="0" w:color="auto"/>
                                                    <w:left w:val="none" w:sz="0" w:space="0" w:color="auto"/>
                                                    <w:bottom w:val="none" w:sz="0" w:space="0" w:color="auto"/>
                                                    <w:right w:val="none" w:sz="0" w:space="0" w:color="auto"/>
                                                  </w:divBdr>
                                                  <w:divsChild>
                                                    <w:div w:id="1207837406">
                                                      <w:marLeft w:val="0"/>
                                                      <w:marRight w:val="0"/>
                                                      <w:marTop w:val="0"/>
                                                      <w:marBottom w:val="0"/>
                                                      <w:divBdr>
                                                        <w:top w:val="none" w:sz="0" w:space="0" w:color="auto"/>
                                                        <w:left w:val="none" w:sz="0" w:space="0" w:color="auto"/>
                                                        <w:bottom w:val="none" w:sz="0" w:space="0" w:color="auto"/>
                                                        <w:right w:val="none" w:sz="0" w:space="0" w:color="auto"/>
                                                      </w:divBdr>
                                                      <w:divsChild>
                                                        <w:div w:id="1740980587">
                                                          <w:marLeft w:val="0"/>
                                                          <w:marRight w:val="0"/>
                                                          <w:marTop w:val="0"/>
                                                          <w:marBottom w:val="0"/>
                                                          <w:divBdr>
                                                            <w:top w:val="none" w:sz="0" w:space="0" w:color="auto"/>
                                                            <w:left w:val="none" w:sz="0" w:space="0" w:color="auto"/>
                                                            <w:bottom w:val="none" w:sz="0" w:space="0" w:color="auto"/>
                                                            <w:right w:val="none" w:sz="0" w:space="0" w:color="auto"/>
                                                          </w:divBdr>
                                                          <w:divsChild>
                                                            <w:div w:id="602961571">
                                                              <w:marLeft w:val="0"/>
                                                              <w:marRight w:val="0"/>
                                                              <w:marTop w:val="0"/>
                                                              <w:marBottom w:val="0"/>
                                                              <w:divBdr>
                                                                <w:top w:val="none" w:sz="0" w:space="0" w:color="auto"/>
                                                                <w:left w:val="none" w:sz="0" w:space="0" w:color="auto"/>
                                                                <w:bottom w:val="none" w:sz="0" w:space="0" w:color="auto"/>
                                                                <w:right w:val="none" w:sz="0" w:space="0" w:color="auto"/>
                                                              </w:divBdr>
                                                              <w:divsChild>
                                                                <w:div w:id="452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486056">
      <w:bodyDiv w:val="1"/>
      <w:marLeft w:val="0"/>
      <w:marRight w:val="0"/>
      <w:marTop w:val="0"/>
      <w:marBottom w:val="0"/>
      <w:divBdr>
        <w:top w:val="none" w:sz="0" w:space="0" w:color="auto"/>
        <w:left w:val="none" w:sz="0" w:space="0" w:color="auto"/>
        <w:bottom w:val="none" w:sz="0" w:space="0" w:color="auto"/>
        <w:right w:val="none" w:sz="0" w:space="0" w:color="auto"/>
      </w:divBdr>
      <w:divsChild>
        <w:div w:id="1913006433">
          <w:marLeft w:val="0"/>
          <w:marRight w:val="0"/>
          <w:marTop w:val="0"/>
          <w:marBottom w:val="0"/>
          <w:divBdr>
            <w:top w:val="none" w:sz="0" w:space="0" w:color="auto"/>
            <w:left w:val="none" w:sz="0" w:space="0" w:color="auto"/>
            <w:bottom w:val="none" w:sz="0" w:space="0" w:color="auto"/>
            <w:right w:val="none" w:sz="0" w:space="0" w:color="auto"/>
          </w:divBdr>
          <w:divsChild>
            <w:div w:id="710810545">
              <w:marLeft w:val="0"/>
              <w:marRight w:val="0"/>
              <w:marTop w:val="0"/>
              <w:marBottom w:val="0"/>
              <w:divBdr>
                <w:top w:val="none" w:sz="0" w:space="0" w:color="auto"/>
                <w:left w:val="none" w:sz="0" w:space="0" w:color="auto"/>
                <w:bottom w:val="none" w:sz="0" w:space="0" w:color="auto"/>
                <w:right w:val="none" w:sz="0" w:space="0" w:color="auto"/>
              </w:divBdr>
              <w:divsChild>
                <w:div w:id="690375790">
                  <w:marLeft w:val="0"/>
                  <w:marRight w:val="0"/>
                  <w:marTop w:val="0"/>
                  <w:marBottom w:val="0"/>
                  <w:divBdr>
                    <w:top w:val="none" w:sz="0" w:space="0" w:color="auto"/>
                    <w:left w:val="none" w:sz="0" w:space="0" w:color="auto"/>
                    <w:bottom w:val="none" w:sz="0" w:space="0" w:color="auto"/>
                    <w:right w:val="none" w:sz="0" w:space="0" w:color="auto"/>
                  </w:divBdr>
                  <w:divsChild>
                    <w:div w:id="774254116">
                      <w:marLeft w:val="0"/>
                      <w:marRight w:val="0"/>
                      <w:marTop w:val="0"/>
                      <w:marBottom w:val="0"/>
                      <w:divBdr>
                        <w:top w:val="single" w:sz="18" w:space="0" w:color="E8E8E8"/>
                        <w:left w:val="none" w:sz="0" w:space="0" w:color="auto"/>
                        <w:bottom w:val="none" w:sz="0" w:space="0" w:color="auto"/>
                        <w:right w:val="none" w:sz="0" w:space="0" w:color="auto"/>
                      </w:divBdr>
                      <w:divsChild>
                        <w:div w:id="1333145247">
                          <w:marLeft w:val="0"/>
                          <w:marRight w:val="4159"/>
                          <w:marTop w:val="0"/>
                          <w:marBottom w:val="0"/>
                          <w:divBdr>
                            <w:top w:val="none" w:sz="0" w:space="0" w:color="auto"/>
                            <w:left w:val="none" w:sz="0" w:space="0" w:color="auto"/>
                            <w:bottom w:val="none" w:sz="0" w:space="0" w:color="auto"/>
                            <w:right w:val="none" w:sz="0" w:space="0" w:color="auto"/>
                          </w:divBdr>
                          <w:divsChild>
                            <w:div w:id="199708146">
                              <w:marLeft w:val="0"/>
                              <w:marRight w:val="0"/>
                              <w:marTop w:val="0"/>
                              <w:marBottom w:val="0"/>
                              <w:divBdr>
                                <w:top w:val="none" w:sz="0" w:space="0" w:color="auto"/>
                                <w:left w:val="none" w:sz="0" w:space="0" w:color="auto"/>
                                <w:bottom w:val="none" w:sz="0" w:space="0" w:color="auto"/>
                                <w:right w:val="none" w:sz="0" w:space="0" w:color="auto"/>
                              </w:divBdr>
                              <w:divsChild>
                                <w:div w:id="1151629407">
                                  <w:marLeft w:val="0"/>
                                  <w:marRight w:val="0"/>
                                  <w:marTop w:val="0"/>
                                  <w:marBottom w:val="0"/>
                                  <w:divBdr>
                                    <w:top w:val="single" w:sz="4" w:space="0" w:color="FFFFFF"/>
                                    <w:left w:val="none" w:sz="0" w:space="0" w:color="auto"/>
                                    <w:bottom w:val="none" w:sz="0" w:space="0" w:color="auto"/>
                                    <w:right w:val="none" w:sz="0" w:space="0" w:color="auto"/>
                                  </w:divBdr>
                                  <w:divsChild>
                                    <w:div w:id="1906721004">
                                      <w:marLeft w:val="0"/>
                                      <w:marRight w:val="0"/>
                                      <w:marTop w:val="0"/>
                                      <w:marBottom w:val="0"/>
                                      <w:divBdr>
                                        <w:top w:val="none" w:sz="0" w:space="0" w:color="auto"/>
                                        <w:left w:val="none" w:sz="0" w:space="0" w:color="auto"/>
                                        <w:bottom w:val="none" w:sz="0" w:space="0" w:color="auto"/>
                                        <w:right w:val="none" w:sz="0" w:space="0" w:color="auto"/>
                                      </w:divBdr>
                                      <w:divsChild>
                                        <w:div w:id="1161238859">
                                          <w:marLeft w:val="0"/>
                                          <w:marRight w:val="0"/>
                                          <w:marTop w:val="0"/>
                                          <w:marBottom w:val="0"/>
                                          <w:divBdr>
                                            <w:top w:val="none" w:sz="0" w:space="0" w:color="auto"/>
                                            <w:left w:val="none" w:sz="0" w:space="0" w:color="auto"/>
                                            <w:bottom w:val="none" w:sz="0" w:space="0" w:color="auto"/>
                                            <w:right w:val="none" w:sz="0" w:space="0" w:color="auto"/>
                                          </w:divBdr>
                                          <w:divsChild>
                                            <w:div w:id="748699357">
                                              <w:marLeft w:val="0"/>
                                              <w:marRight w:val="0"/>
                                              <w:marTop w:val="0"/>
                                              <w:marBottom w:val="0"/>
                                              <w:divBdr>
                                                <w:top w:val="none" w:sz="0" w:space="0" w:color="auto"/>
                                                <w:left w:val="none" w:sz="0" w:space="0" w:color="auto"/>
                                                <w:bottom w:val="none" w:sz="0" w:space="0" w:color="auto"/>
                                                <w:right w:val="none" w:sz="0" w:space="0" w:color="auto"/>
                                              </w:divBdr>
                                              <w:divsChild>
                                                <w:div w:id="1290088489">
                                                  <w:marLeft w:val="35"/>
                                                  <w:marRight w:val="58"/>
                                                  <w:marTop w:val="0"/>
                                                  <w:marBottom w:val="0"/>
                                                  <w:divBdr>
                                                    <w:top w:val="none" w:sz="0" w:space="0" w:color="auto"/>
                                                    <w:left w:val="none" w:sz="0" w:space="0" w:color="auto"/>
                                                    <w:bottom w:val="none" w:sz="0" w:space="0" w:color="auto"/>
                                                    <w:right w:val="none" w:sz="0" w:space="0" w:color="auto"/>
                                                  </w:divBdr>
                                                  <w:divsChild>
                                                    <w:div w:id="2030253936">
                                                      <w:marLeft w:val="0"/>
                                                      <w:marRight w:val="0"/>
                                                      <w:marTop w:val="0"/>
                                                      <w:marBottom w:val="0"/>
                                                      <w:divBdr>
                                                        <w:top w:val="none" w:sz="0" w:space="0" w:color="auto"/>
                                                        <w:left w:val="none" w:sz="0" w:space="0" w:color="auto"/>
                                                        <w:bottom w:val="none" w:sz="0" w:space="0" w:color="auto"/>
                                                        <w:right w:val="none" w:sz="0" w:space="0" w:color="auto"/>
                                                      </w:divBdr>
                                                      <w:divsChild>
                                                        <w:div w:id="369649321">
                                                          <w:marLeft w:val="0"/>
                                                          <w:marRight w:val="0"/>
                                                          <w:marTop w:val="0"/>
                                                          <w:marBottom w:val="0"/>
                                                          <w:divBdr>
                                                            <w:top w:val="none" w:sz="0" w:space="0" w:color="auto"/>
                                                            <w:left w:val="none" w:sz="0" w:space="0" w:color="auto"/>
                                                            <w:bottom w:val="none" w:sz="0" w:space="0" w:color="auto"/>
                                                            <w:right w:val="none" w:sz="0" w:space="0" w:color="auto"/>
                                                          </w:divBdr>
                                                          <w:divsChild>
                                                            <w:div w:id="378283071">
                                                              <w:marLeft w:val="0"/>
                                                              <w:marRight w:val="0"/>
                                                              <w:marTop w:val="0"/>
                                                              <w:marBottom w:val="0"/>
                                                              <w:divBdr>
                                                                <w:top w:val="none" w:sz="0" w:space="0" w:color="auto"/>
                                                                <w:left w:val="none" w:sz="0" w:space="0" w:color="auto"/>
                                                                <w:bottom w:val="none" w:sz="0" w:space="0" w:color="auto"/>
                                                                <w:right w:val="none" w:sz="0" w:space="0" w:color="auto"/>
                                                              </w:divBdr>
                                                              <w:divsChild>
                                                                <w:div w:id="15823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25537">
      <w:bodyDiv w:val="1"/>
      <w:marLeft w:val="0"/>
      <w:marRight w:val="0"/>
      <w:marTop w:val="0"/>
      <w:marBottom w:val="0"/>
      <w:divBdr>
        <w:top w:val="none" w:sz="0" w:space="0" w:color="auto"/>
        <w:left w:val="none" w:sz="0" w:space="0" w:color="auto"/>
        <w:bottom w:val="none" w:sz="0" w:space="0" w:color="auto"/>
        <w:right w:val="none" w:sz="0" w:space="0" w:color="auto"/>
      </w:divBdr>
      <w:divsChild>
        <w:div w:id="1116487808">
          <w:marLeft w:val="0"/>
          <w:marRight w:val="0"/>
          <w:marTop w:val="0"/>
          <w:marBottom w:val="0"/>
          <w:divBdr>
            <w:top w:val="none" w:sz="0" w:space="0" w:color="auto"/>
            <w:left w:val="none" w:sz="0" w:space="0" w:color="auto"/>
            <w:bottom w:val="none" w:sz="0" w:space="0" w:color="auto"/>
            <w:right w:val="none" w:sz="0" w:space="0" w:color="auto"/>
          </w:divBdr>
          <w:divsChild>
            <w:div w:id="27267428">
              <w:marLeft w:val="0"/>
              <w:marRight w:val="0"/>
              <w:marTop w:val="0"/>
              <w:marBottom w:val="0"/>
              <w:divBdr>
                <w:top w:val="none" w:sz="0" w:space="0" w:color="auto"/>
                <w:left w:val="none" w:sz="0" w:space="0" w:color="auto"/>
                <w:bottom w:val="none" w:sz="0" w:space="0" w:color="auto"/>
                <w:right w:val="none" w:sz="0" w:space="0" w:color="auto"/>
              </w:divBdr>
              <w:divsChild>
                <w:div w:id="1510752240">
                  <w:marLeft w:val="0"/>
                  <w:marRight w:val="0"/>
                  <w:marTop w:val="0"/>
                  <w:marBottom w:val="0"/>
                  <w:divBdr>
                    <w:top w:val="none" w:sz="0" w:space="0" w:color="auto"/>
                    <w:left w:val="none" w:sz="0" w:space="0" w:color="auto"/>
                    <w:bottom w:val="none" w:sz="0" w:space="0" w:color="auto"/>
                    <w:right w:val="none" w:sz="0" w:space="0" w:color="auto"/>
                  </w:divBdr>
                  <w:divsChild>
                    <w:div w:id="1548835258">
                      <w:marLeft w:val="0"/>
                      <w:marRight w:val="0"/>
                      <w:marTop w:val="0"/>
                      <w:marBottom w:val="0"/>
                      <w:divBdr>
                        <w:top w:val="none" w:sz="0" w:space="0" w:color="auto"/>
                        <w:left w:val="none" w:sz="0" w:space="0" w:color="auto"/>
                        <w:bottom w:val="none" w:sz="0" w:space="0" w:color="auto"/>
                        <w:right w:val="none" w:sz="0" w:space="0" w:color="auto"/>
                      </w:divBdr>
                      <w:divsChild>
                        <w:div w:id="407777049">
                          <w:marLeft w:val="0"/>
                          <w:marRight w:val="0"/>
                          <w:marTop w:val="0"/>
                          <w:marBottom w:val="0"/>
                          <w:divBdr>
                            <w:top w:val="none" w:sz="0" w:space="0" w:color="auto"/>
                            <w:left w:val="none" w:sz="0" w:space="0" w:color="auto"/>
                            <w:bottom w:val="none" w:sz="0" w:space="0" w:color="auto"/>
                            <w:right w:val="none" w:sz="0" w:space="0" w:color="auto"/>
                          </w:divBdr>
                          <w:divsChild>
                            <w:div w:id="1422292123">
                              <w:marLeft w:val="0"/>
                              <w:marRight w:val="0"/>
                              <w:marTop w:val="0"/>
                              <w:marBottom w:val="0"/>
                              <w:divBdr>
                                <w:top w:val="none" w:sz="0" w:space="0" w:color="auto"/>
                                <w:left w:val="none" w:sz="0" w:space="0" w:color="auto"/>
                                <w:bottom w:val="none" w:sz="0" w:space="0" w:color="auto"/>
                                <w:right w:val="none" w:sz="0" w:space="0" w:color="auto"/>
                              </w:divBdr>
                              <w:divsChild>
                                <w:div w:id="15294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08708">
      <w:bodyDiv w:val="1"/>
      <w:marLeft w:val="0"/>
      <w:marRight w:val="0"/>
      <w:marTop w:val="0"/>
      <w:marBottom w:val="0"/>
      <w:divBdr>
        <w:top w:val="none" w:sz="0" w:space="0" w:color="auto"/>
        <w:left w:val="none" w:sz="0" w:space="0" w:color="auto"/>
        <w:bottom w:val="none" w:sz="0" w:space="0" w:color="auto"/>
        <w:right w:val="none" w:sz="0" w:space="0" w:color="auto"/>
      </w:divBdr>
      <w:divsChild>
        <w:div w:id="1987783002">
          <w:marLeft w:val="0"/>
          <w:marRight w:val="0"/>
          <w:marTop w:val="0"/>
          <w:marBottom w:val="0"/>
          <w:divBdr>
            <w:top w:val="none" w:sz="0" w:space="0" w:color="auto"/>
            <w:left w:val="none" w:sz="0" w:space="0" w:color="auto"/>
            <w:bottom w:val="none" w:sz="0" w:space="0" w:color="auto"/>
            <w:right w:val="none" w:sz="0" w:space="0" w:color="auto"/>
          </w:divBdr>
          <w:divsChild>
            <w:div w:id="782071663">
              <w:marLeft w:val="0"/>
              <w:marRight w:val="0"/>
              <w:marTop w:val="0"/>
              <w:marBottom w:val="0"/>
              <w:divBdr>
                <w:top w:val="none" w:sz="0" w:space="0" w:color="auto"/>
                <w:left w:val="none" w:sz="0" w:space="0" w:color="auto"/>
                <w:bottom w:val="none" w:sz="0" w:space="0" w:color="auto"/>
                <w:right w:val="none" w:sz="0" w:space="0" w:color="auto"/>
              </w:divBdr>
              <w:divsChild>
                <w:div w:id="893004467">
                  <w:marLeft w:val="0"/>
                  <w:marRight w:val="0"/>
                  <w:marTop w:val="0"/>
                  <w:marBottom w:val="0"/>
                  <w:divBdr>
                    <w:top w:val="none" w:sz="0" w:space="0" w:color="auto"/>
                    <w:left w:val="none" w:sz="0" w:space="0" w:color="auto"/>
                    <w:bottom w:val="none" w:sz="0" w:space="0" w:color="auto"/>
                    <w:right w:val="none" w:sz="0" w:space="0" w:color="auto"/>
                  </w:divBdr>
                  <w:divsChild>
                    <w:div w:id="1594779950">
                      <w:marLeft w:val="0"/>
                      <w:marRight w:val="0"/>
                      <w:marTop w:val="0"/>
                      <w:marBottom w:val="0"/>
                      <w:divBdr>
                        <w:top w:val="none" w:sz="0" w:space="0" w:color="auto"/>
                        <w:left w:val="none" w:sz="0" w:space="0" w:color="auto"/>
                        <w:bottom w:val="none" w:sz="0" w:space="0" w:color="auto"/>
                        <w:right w:val="none" w:sz="0" w:space="0" w:color="auto"/>
                      </w:divBdr>
                      <w:divsChild>
                        <w:div w:id="824129973">
                          <w:marLeft w:val="0"/>
                          <w:marRight w:val="0"/>
                          <w:marTop w:val="0"/>
                          <w:marBottom w:val="0"/>
                          <w:divBdr>
                            <w:top w:val="none" w:sz="0" w:space="0" w:color="auto"/>
                            <w:left w:val="none" w:sz="0" w:space="0" w:color="auto"/>
                            <w:bottom w:val="none" w:sz="0" w:space="0" w:color="auto"/>
                            <w:right w:val="none" w:sz="0" w:space="0" w:color="auto"/>
                          </w:divBdr>
                          <w:divsChild>
                            <w:div w:id="1870532380">
                              <w:marLeft w:val="0"/>
                              <w:marRight w:val="0"/>
                              <w:marTop w:val="0"/>
                              <w:marBottom w:val="0"/>
                              <w:divBdr>
                                <w:top w:val="none" w:sz="0" w:space="0" w:color="auto"/>
                                <w:left w:val="none" w:sz="0" w:space="0" w:color="auto"/>
                                <w:bottom w:val="none" w:sz="0" w:space="0" w:color="auto"/>
                                <w:right w:val="none" w:sz="0" w:space="0" w:color="auto"/>
                              </w:divBdr>
                              <w:divsChild>
                                <w:div w:id="1150943905">
                                  <w:marLeft w:val="0"/>
                                  <w:marRight w:val="0"/>
                                  <w:marTop w:val="0"/>
                                  <w:marBottom w:val="0"/>
                                  <w:divBdr>
                                    <w:top w:val="single" w:sz="4" w:space="0" w:color="F5F5F5"/>
                                    <w:left w:val="single" w:sz="4" w:space="0" w:color="F5F5F5"/>
                                    <w:bottom w:val="single" w:sz="4" w:space="0" w:color="F5F5F5"/>
                                    <w:right w:val="single" w:sz="4" w:space="0" w:color="F5F5F5"/>
                                  </w:divBdr>
                                  <w:divsChild>
                                    <w:div w:id="1419130375">
                                      <w:marLeft w:val="0"/>
                                      <w:marRight w:val="0"/>
                                      <w:marTop w:val="0"/>
                                      <w:marBottom w:val="0"/>
                                      <w:divBdr>
                                        <w:top w:val="none" w:sz="0" w:space="0" w:color="auto"/>
                                        <w:left w:val="none" w:sz="0" w:space="0" w:color="auto"/>
                                        <w:bottom w:val="none" w:sz="0" w:space="0" w:color="auto"/>
                                        <w:right w:val="none" w:sz="0" w:space="0" w:color="auto"/>
                                      </w:divBdr>
                                      <w:divsChild>
                                        <w:div w:id="254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oleObject" Target="embeddings/oleObject7.bin"/><Relationship Id="rId39" Type="http://schemas.openxmlformats.org/officeDocument/2006/relationships/hyperlink" Target="http://www.sciencedirect.com/science/journal/13858947"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hyperlink" Target="mailto:dataelouardi@yahoo.fr" TargetMode="Externa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yperlink" Target="http://pubs.giss.nasa.gov/abs/oc01000b.html" TargetMode="External"/><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www.ingentaconnect.com/content/els/01968904/2001/00000042/00000004/art00071;jsessionid=56qsh7rk8fp5h.alexandra" TargetMode="External"/><Relationship Id="rId40" Type="http://schemas.openxmlformats.org/officeDocument/2006/relationships/hyperlink" Target="http://www.sciencedirect.com/science?_ob=PublicationURL&amp;_tockey=%23TOC%235228%232007%23998689998%23655374%23FLA%23&amp;_cdi=5228&amp;_pubType=J&amp;view=c&amp;_auth=y&amp;_acct=C000050221&amp;_version=1&amp;_urlVersion=0&amp;_userid=10&amp;md5=91e0a80d2ace8b8523a4ba0914fa66bf"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hyperlink" Target="http://discover-decouvrir.cisti-icist.nrc-cnrc.gc.ca/dcvr/ctrl?action=shwart&amp;aix=3&amp;aid=1661443" TargetMode="External"/><Relationship Id="rId10" Type="http://schemas.openxmlformats.org/officeDocument/2006/relationships/image" Target="media/image1.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381625441696114"/>
          <c:y val="8.0971659919028341E-2"/>
          <c:w val="0.5053003533568905"/>
          <c:h val="0.708502024291498"/>
        </c:manualLayout>
      </c:layout>
      <c:scatterChart>
        <c:scatterStyle val="lineMarker"/>
        <c:varyColors val="0"/>
        <c:ser>
          <c:idx val="2"/>
          <c:order val="2"/>
          <c:tx>
            <c:strRef>
              <c:f>Feuil2!$D$2</c:f>
              <c:strCache>
                <c:ptCount val="1"/>
                <c:pt idx="0">
                  <c:v>CO2</c:v>
                </c:pt>
              </c:strCache>
            </c:strRef>
          </c:tx>
          <c:spPr>
            <a:ln w="28524">
              <a:noFill/>
            </a:ln>
          </c:spPr>
          <c:marker>
            <c:symbol val="triangle"/>
            <c:size val="5"/>
            <c:spPr>
              <a:solidFill>
                <a:srgbClr val="000000"/>
              </a:solid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Feuil2!$D$3:$D$23</c:f>
              <c:numCache>
                <c:formatCode>General</c:formatCode>
                <c:ptCount val="21"/>
                <c:pt idx="0">
                  <c:v>0</c:v>
                </c:pt>
                <c:pt idx="1">
                  <c:v>0.36</c:v>
                </c:pt>
                <c:pt idx="2">
                  <c:v>0.4</c:v>
                </c:pt>
                <c:pt idx="3">
                  <c:v>0.42</c:v>
                </c:pt>
                <c:pt idx="4">
                  <c:v>0.43</c:v>
                </c:pt>
                <c:pt idx="5">
                  <c:v>0.45</c:v>
                </c:pt>
                <c:pt idx="6">
                  <c:v>0.4</c:v>
                </c:pt>
                <c:pt idx="7">
                  <c:v>0.4</c:v>
                </c:pt>
                <c:pt idx="8">
                  <c:v>0.34</c:v>
                </c:pt>
                <c:pt idx="9">
                  <c:v>0.28000000000000003</c:v>
                </c:pt>
                <c:pt idx="10">
                  <c:v>0.2</c:v>
                </c:pt>
                <c:pt idx="11">
                  <c:v>0.15</c:v>
                </c:pt>
                <c:pt idx="12">
                  <c:v>0.13</c:v>
                </c:pt>
                <c:pt idx="13">
                  <c:v>0.12</c:v>
                </c:pt>
                <c:pt idx="14">
                  <c:v>0.11</c:v>
                </c:pt>
                <c:pt idx="15">
                  <c:v>0.1</c:v>
                </c:pt>
                <c:pt idx="16">
                  <c:v>8.9999999999999858E-2</c:v>
                </c:pt>
                <c:pt idx="17">
                  <c:v>7.9999999999999627E-2</c:v>
                </c:pt>
                <c:pt idx="18">
                  <c:v>6.999999999999984E-2</c:v>
                </c:pt>
                <c:pt idx="19">
                  <c:v>6.0000000000000053E-2</c:v>
                </c:pt>
                <c:pt idx="20">
                  <c:v>4.9999999999999822E-2</c:v>
                </c:pt>
              </c:numCache>
            </c:numRef>
          </c:yVal>
          <c:smooth val="0"/>
        </c:ser>
        <c:ser>
          <c:idx val="3"/>
          <c:order val="3"/>
          <c:tx>
            <c:strRef>
              <c:f>Feuil2!$E$2</c:f>
              <c:strCache>
                <c:ptCount val="1"/>
                <c:pt idx="0">
                  <c:v>Corg</c:v>
                </c:pt>
              </c:strCache>
            </c:strRef>
          </c:tx>
          <c:spPr>
            <a:ln w="28524">
              <a:noFill/>
            </a:ln>
          </c:spPr>
          <c:marker>
            <c:symbol val="x"/>
            <c:size val="5"/>
            <c:spPr>
              <a:no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Feuil2!$E$3:$E$23</c:f>
              <c:numCache>
                <c:formatCode>General</c:formatCode>
                <c:ptCount val="21"/>
                <c:pt idx="0">
                  <c:v>0</c:v>
                </c:pt>
                <c:pt idx="1">
                  <c:v>0.1</c:v>
                </c:pt>
                <c:pt idx="2">
                  <c:v>0.11</c:v>
                </c:pt>
                <c:pt idx="3">
                  <c:v>0.13</c:v>
                </c:pt>
                <c:pt idx="4">
                  <c:v>0.15</c:v>
                </c:pt>
                <c:pt idx="5">
                  <c:v>0.16</c:v>
                </c:pt>
                <c:pt idx="6">
                  <c:v>0.16</c:v>
                </c:pt>
                <c:pt idx="7">
                  <c:v>0.13</c:v>
                </c:pt>
                <c:pt idx="8">
                  <c:v>0.09</c:v>
                </c:pt>
                <c:pt idx="9">
                  <c:v>0.08</c:v>
                </c:pt>
                <c:pt idx="10">
                  <c:v>4.9999999999999933E-2</c:v>
                </c:pt>
                <c:pt idx="11">
                  <c:v>2.9999999999999916E-2</c:v>
                </c:pt>
                <c:pt idx="12">
                  <c:v>0.03</c:v>
                </c:pt>
                <c:pt idx="13">
                  <c:v>0.03</c:v>
                </c:pt>
                <c:pt idx="14">
                  <c:v>0.03</c:v>
                </c:pt>
                <c:pt idx="15">
                  <c:v>2.9999999999999916E-2</c:v>
                </c:pt>
                <c:pt idx="16">
                  <c:v>2.9999999999999916E-2</c:v>
                </c:pt>
                <c:pt idx="17">
                  <c:v>0.02</c:v>
                </c:pt>
                <c:pt idx="18">
                  <c:v>0.02</c:v>
                </c:pt>
                <c:pt idx="19">
                  <c:v>0.02</c:v>
                </c:pt>
                <c:pt idx="20">
                  <c:v>0.02</c:v>
                </c:pt>
              </c:numCache>
            </c:numRef>
          </c:yVal>
          <c:smooth val="0"/>
        </c:ser>
        <c:dLbls>
          <c:showLegendKey val="0"/>
          <c:showVal val="0"/>
          <c:showCatName val="0"/>
          <c:showSerName val="0"/>
          <c:showPercent val="0"/>
          <c:showBubbleSize val="0"/>
        </c:dLbls>
        <c:axId val="186716544"/>
        <c:axId val="186718848"/>
      </c:scatterChart>
      <c:scatterChart>
        <c:scatterStyle val="lineMarker"/>
        <c:varyColors val="0"/>
        <c:ser>
          <c:idx val="0"/>
          <c:order val="0"/>
          <c:tx>
            <c:strRef>
              <c:f>Feuil2!$B$2</c:f>
              <c:strCache>
                <c:ptCount val="1"/>
                <c:pt idx="0">
                  <c:v>P2O5</c:v>
                </c:pt>
              </c:strCache>
            </c:strRef>
          </c:tx>
          <c:spPr>
            <a:ln w="28524">
              <a:noFill/>
            </a:ln>
          </c:spPr>
          <c:marker>
            <c:symbol val="circle"/>
            <c:size val="5"/>
            <c:spPr>
              <a:solidFill>
                <a:srgbClr val="000000"/>
              </a:solid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Feuil2!$B$3:$B$23</c:f>
              <c:numCache>
                <c:formatCode>General</c:formatCode>
                <c:ptCount val="21"/>
                <c:pt idx="0">
                  <c:v>0</c:v>
                </c:pt>
                <c:pt idx="1">
                  <c:v>-0.21999999999999886</c:v>
                </c:pt>
                <c:pt idx="2">
                  <c:v>-0.25</c:v>
                </c:pt>
                <c:pt idx="3">
                  <c:v>-0.24000000000000199</c:v>
                </c:pt>
                <c:pt idx="4">
                  <c:v>-0.22999999999999687</c:v>
                </c:pt>
                <c:pt idx="5">
                  <c:v>-0.21000000000000085</c:v>
                </c:pt>
                <c:pt idx="6">
                  <c:v>-0.19999999999999574</c:v>
                </c:pt>
                <c:pt idx="7">
                  <c:v>-0.14000000000000057</c:v>
                </c:pt>
                <c:pt idx="8">
                  <c:v>-9.9999999999994316E-2</c:v>
                </c:pt>
                <c:pt idx="9">
                  <c:v>-8.9999999999996305E-2</c:v>
                </c:pt>
                <c:pt idx="10">
                  <c:v>-5.9999999999995168E-2</c:v>
                </c:pt>
                <c:pt idx="11">
                  <c:v>-7.9999999999998295E-2</c:v>
                </c:pt>
                <c:pt idx="12">
                  <c:v>-7.0000000000000284E-2</c:v>
                </c:pt>
                <c:pt idx="13">
                  <c:v>-7.0000000000000284E-2</c:v>
                </c:pt>
                <c:pt idx="14">
                  <c:v>-6.0000000000002274E-2</c:v>
                </c:pt>
                <c:pt idx="15">
                  <c:v>-5.0000000000004263E-2</c:v>
                </c:pt>
                <c:pt idx="16">
                  <c:v>-2.9999999999994031E-2</c:v>
                </c:pt>
                <c:pt idx="17">
                  <c:v>-2.0000000000003126E-2</c:v>
                </c:pt>
                <c:pt idx="18">
                  <c:v>-3.0000000000001137E-2</c:v>
                </c:pt>
                <c:pt idx="19">
                  <c:v>-2.0000000000003126E-2</c:v>
                </c:pt>
                <c:pt idx="20">
                  <c:v>-9.9999999999980105E-3</c:v>
                </c:pt>
              </c:numCache>
            </c:numRef>
          </c:yVal>
          <c:smooth val="0"/>
        </c:ser>
        <c:ser>
          <c:idx val="1"/>
          <c:order val="1"/>
          <c:tx>
            <c:strRef>
              <c:f>Feuil2!$C$2</c:f>
              <c:strCache>
                <c:ptCount val="1"/>
                <c:pt idx="0">
                  <c:v>CaO</c:v>
                </c:pt>
              </c:strCache>
            </c:strRef>
          </c:tx>
          <c:spPr>
            <a:ln w="28524">
              <a:noFill/>
            </a:ln>
          </c:spPr>
          <c:marker>
            <c:symbol val="square"/>
            <c:size val="5"/>
            <c:spPr>
              <a:solidFill>
                <a:srgbClr val="000000"/>
              </a:solidFill>
              <a:ln>
                <a:solidFill>
                  <a:srgbClr val="000000"/>
                </a:solidFill>
                <a:prstDash val="solid"/>
              </a:ln>
            </c:spPr>
          </c:marker>
          <c:xVal>
            <c:numRef>
              <c:f>Feuil2!$A$3:$A$23</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xVal>
          <c:yVal>
            <c:numRef>
              <c:f>Feuil2!$C$3:$C$23</c:f>
              <c:numCache>
                <c:formatCode>General</c:formatCode>
                <c:ptCount val="21"/>
                <c:pt idx="0">
                  <c:v>0</c:v>
                </c:pt>
                <c:pt idx="1">
                  <c:v>-0.46000000000000085</c:v>
                </c:pt>
                <c:pt idx="2">
                  <c:v>-0.60999999999999943</c:v>
                </c:pt>
                <c:pt idx="3">
                  <c:v>-0.69000000000000483</c:v>
                </c:pt>
                <c:pt idx="4">
                  <c:v>-0.79999999999999716</c:v>
                </c:pt>
                <c:pt idx="5">
                  <c:v>-0.76000000000000512</c:v>
                </c:pt>
                <c:pt idx="6">
                  <c:v>-0.71000000000000085</c:v>
                </c:pt>
                <c:pt idx="7">
                  <c:v>-0.63000000000000256</c:v>
                </c:pt>
                <c:pt idx="8">
                  <c:v>-0.43</c:v>
                </c:pt>
                <c:pt idx="9">
                  <c:v>-0.31000000000000227</c:v>
                </c:pt>
                <c:pt idx="10">
                  <c:v>-0.21000000000000085</c:v>
                </c:pt>
                <c:pt idx="11">
                  <c:v>-0.18</c:v>
                </c:pt>
                <c:pt idx="12">
                  <c:v>-0.15999999999999659</c:v>
                </c:pt>
                <c:pt idx="13">
                  <c:v>-0.13000000000000256</c:v>
                </c:pt>
                <c:pt idx="14">
                  <c:v>-0.10000000000000142</c:v>
                </c:pt>
                <c:pt idx="15">
                  <c:v>-7.9999999999998295E-2</c:v>
                </c:pt>
                <c:pt idx="16">
                  <c:v>-7.0000000000000284E-2</c:v>
                </c:pt>
                <c:pt idx="17">
                  <c:v>-1.9999999999996021E-2</c:v>
                </c:pt>
                <c:pt idx="18">
                  <c:v>-1.0000000000005116E-2</c:v>
                </c:pt>
                <c:pt idx="19">
                  <c:v>-5.000000000002558E-3</c:v>
                </c:pt>
                <c:pt idx="20">
                  <c:v>-4.9999999999954525E-3</c:v>
                </c:pt>
              </c:numCache>
            </c:numRef>
          </c:yVal>
          <c:smooth val="0"/>
        </c:ser>
        <c:dLbls>
          <c:showLegendKey val="0"/>
          <c:showVal val="0"/>
          <c:showCatName val="0"/>
          <c:showSerName val="0"/>
          <c:showPercent val="0"/>
          <c:showBubbleSize val="0"/>
        </c:dLbls>
        <c:axId val="187056896"/>
        <c:axId val="187058432"/>
      </c:scatterChart>
      <c:valAx>
        <c:axId val="186716544"/>
        <c:scaling>
          <c:orientation val="minMax"/>
          <c:max val="100"/>
        </c:scaling>
        <c:delete val="0"/>
        <c:axPos val="b"/>
        <c:title>
          <c:tx>
            <c:rich>
              <a:bodyPr/>
              <a:lstStyle/>
              <a:p>
                <a:pPr>
                  <a:defRPr sz="799" b="1" i="0" u="none" strike="noStrike" baseline="0">
                    <a:solidFill>
                      <a:srgbClr val="000000"/>
                    </a:solidFill>
                    <a:latin typeface="Times New Roman"/>
                    <a:ea typeface="Times New Roman"/>
                    <a:cs typeface="Times New Roman"/>
                  </a:defRPr>
                </a:pPr>
                <a:r>
                  <a:t>  phosphate ajouté (%)</a:t>
                </a:r>
              </a:p>
            </c:rich>
          </c:tx>
          <c:layout>
            <c:manualLayout>
              <c:xMode val="edge"/>
              <c:yMode val="edge"/>
              <c:x val="0.27915194346289751"/>
              <c:y val="0.88259109311740891"/>
            </c:manualLayout>
          </c:layout>
          <c:overlay val="0"/>
          <c:spPr>
            <a:noFill/>
            <a:ln w="25355">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fr-FR"/>
          </a:p>
        </c:txPr>
        <c:crossAx val="186718848"/>
        <c:crosses val="autoZero"/>
        <c:crossBetween val="midCat"/>
        <c:majorUnit val="20"/>
      </c:valAx>
      <c:valAx>
        <c:axId val="186718848"/>
        <c:scaling>
          <c:orientation val="minMax"/>
          <c:max val="1.2"/>
        </c:scaling>
        <c:delete val="0"/>
        <c:axPos val="l"/>
        <c:title>
          <c:tx>
            <c:rich>
              <a:bodyPr/>
              <a:lstStyle/>
              <a:p>
                <a:pPr>
                  <a:defRPr sz="799" b="1" i="0" u="none" strike="noStrike" baseline="0">
                    <a:solidFill>
                      <a:srgbClr val="000000"/>
                    </a:solidFill>
                    <a:latin typeface="Times New Roman"/>
                    <a:ea typeface="Times New Roman"/>
                    <a:cs typeface="Times New Roman"/>
                  </a:defRPr>
                </a:pPr>
                <a:r>
                  <a:t>Ecarts of the % (MF-MC) 
of Corg and CO2 </a:t>
                </a:r>
              </a:p>
            </c:rich>
          </c:tx>
          <c:layout>
            <c:manualLayout>
              <c:xMode val="edge"/>
              <c:yMode val="edge"/>
              <c:x val="3.8869257950530034E-2"/>
              <c:y val="0.16599190283400811"/>
            </c:manualLayout>
          </c:layout>
          <c:overlay val="0"/>
          <c:spPr>
            <a:noFill/>
            <a:ln w="25355">
              <a:noFill/>
            </a:ln>
          </c:spPr>
        </c:title>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fr-FR"/>
          </a:p>
        </c:txPr>
        <c:crossAx val="186716544"/>
        <c:crosses val="autoZero"/>
        <c:crossBetween val="midCat"/>
        <c:majorUnit val="0.3"/>
      </c:valAx>
      <c:valAx>
        <c:axId val="187056896"/>
        <c:scaling>
          <c:orientation val="minMax"/>
        </c:scaling>
        <c:delete val="1"/>
        <c:axPos val="b"/>
        <c:numFmt formatCode="General" sourceLinked="1"/>
        <c:majorTickMark val="out"/>
        <c:minorTickMark val="none"/>
        <c:tickLblPos val="nextTo"/>
        <c:crossAx val="187058432"/>
        <c:crosses val="autoZero"/>
        <c:crossBetween val="midCat"/>
      </c:valAx>
      <c:valAx>
        <c:axId val="187058432"/>
        <c:scaling>
          <c:orientation val="minMax"/>
          <c:min val="-2"/>
        </c:scaling>
        <c:delete val="0"/>
        <c:axPos val="r"/>
        <c:title>
          <c:tx>
            <c:rich>
              <a:bodyPr/>
              <a:lstStyle/>
              <a:p>
                <a:pPr>
                  <a:defRPr sz="799" b="1" i="0" u="none" strike="noStrike" baseline="0">
                    <a:solidFill>
                      <a:srgbClr val="000000"/>
                    </a:solidFill>
                    <a:latin typeface="Times New Roman"/>
                    <a:ea typeface="Times New Roman"/>
                    <a:cs typeface="Times New Roman"/>
                  </a:defRPr>
                </a:pPr>
                <a:r>
                  <a:t>Ecarts of the % (MF-MC)
of P2O5 and CaO</a:t>
                </a:r>
              </a:p>
            </c:rich>
          </c:tx>
          <c:layout>
            <c:manualLayout>
              <c:xMode val="edge"/>
              <c:yMode val="edge"/>
              <c:x val="0.84805653710247353"/>
              <c:y val="0.16599190283400811"/>
            </c:manualLayout>
          </c:layout>
          <c:overlay val="0"/>
          <c:spPr>
            <a:noFill/>
            <a:ln w="25355">
              <a:noFill/>
            </a:ln>
          </c:spPr>
        </c:title>
        <c:numFmt formatCode="General" sourceLinked="1"/>
        <c:majorTickMark val="cross"/>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fr-FR"/>
          </a:p>
        </c:txPr>
        <c:crossAx val="187056896"/>
        <c:crosses val="max"/>
        <c:crossBetween val="midCat"/>
        <c:majorUnit val="0.5"/>
      </c:valAx>
      <c:spPr>
        <a:noFill/>
        <a:ln w="25355">
          <a:solidFill>
            <a:srgbClr val="000000"/>
          </a:solidFill>
          <a:prstDash val="solid"/>
        </a:ln>
      </c:spPr>
    </c:plotArea>
    <c:plotVisOnly val="1"/>
    <c:dispBlanksAs val="gap"/>
    <c:showDLblsOverMax val="0"/>
  </c:chart>
  <c:spPr>
    <a:noFill/>
    <a:ln>
      <a:noFill/>
    </a:ln>
  </c:spPr>
  <c:txPr>
    <a:bodyPr/>
    <a:lstStyle/>
    <a:p>
      <a:pPr>
        <a:defRPr sz="799" b="1" i="0" u="none" strike="noStrike" baseline="0">
          <a:solidFill>
            <a:srgbClr val="000000"/>
          </a:solidFill>
          <a:latin typeface="Times New Roman"/>
          <a:ea typeface="Times New Roman"/>
          <a:cs typeface="Times New Roman"/>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0.24175</cdr:x>
      <cdr:y>0.52325</cdr:y>
    </cdr:from>
    <cdr:to>
      <cdr:x>0.7395</cdr:x>
      <cdr:y>0.7855</cdr:y>
    </cdr:to>
    <cdr:sp macro="" textlink="">
      <cdr:nvSpPr>
        <cdr:cNvPr id="1028" name="Freeform 4"/>
        <cdr:cNvSpPr>
          <a:spLocks xmlns:a="http://schemas.openxmlformats.org/drawingml/2006/main"/>
        </cdr:cNvSpPr>
      </cdr:nvSpPr>
      <cdr:spPr bwMode="auto">
        <a:xfrm xmlns:a="http://schemas.openxmlformats.org/drawingml/2006/main">
          <a:off x="651655" y="1231037"/>
          <a:ext cx="1341723" cy="616989"/>
        </a:xfrm>
        <a:custGeom xmlns:a="http://schemas.openxmlformats.org/drawingml/2006/main">
          <a:avLst/>
          <a:gdLst>
            <a:gd name="T0" fmla="*/ 0 w 3311201"/>
            <a:gd name="T1" fmla="*/ 1071121 h 1071121"/>
            <a:gd name="T2" fmla="*/ 49569 w 3311201"/>
            <a:gd name="T3" fmla="*/ 587168 h 1071121"/>
            <a:gd name="T4" fmla="*/ 178448 w 3311201"/>
            <a:gd name="T5" fmla="*/ 211857 h 1071121"/>
            <a:gd name="T6" fmla="*/ 505603 w 3311201"/>
            <a:gd name="T7" fmla="*/ 34079 h 1071121"/>
            <a:gd name="T8" fmla="*/ 991378 w 3311201"/>
            <a:gd name="T9" fmla="*/ 63708 h 1071121"/>
            <a:gd name="T10" fmla="*/ 1457325 w 3311201"/>
            <a:gd name="T11" fmla="*/ 416329 h 1071121"/>
            <a:gd name="T12" fmla="*/ 1625860 w 3311201"/>
            <a:gd name="T13" fmla="*/ 545478 h 1071121"/>
            <a:gd name="T14" fmla="*/ 1655601 w 3311201"/>
            <a:gd name="T15" fmla="*/ 585150 h 1071121"/>
            <a:gd name="T16" fmla="*/ 1804308 w 3311201"/>
            <a:gd name="T17" fmla="*/ 684327 h 1071121"/>
            <a:gd name="T18" fmla="*/ 1923273 w 3311201"/>
            <a:gd name="T19" fmla="*/ 714081 h 1071121"/>
            <a:gd name="T20" fmla="*/ 3311201 w 3311201"/>
            <a:gd name="T21" fmla="*/ 972355 h 1071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11201" h="1071121">
              <a:moveTo>
                <a:pt x="0" y="1071121"/>
              </a:moveTo>
              <a:cubicBezTo>
                <a:pt x="9914" y="900749"/>
                <a:pt x="19828" y="730379"/>
                <a:pt x="49569" y="587168"/>
              </a:cubicBezTo>
              <a:cubicBezTo>
                <a:pt x="79310" y="443958"/>
                <a:pt x="102442" y="304039"/>
                <a:pt x="178448" y="211857"/>
              </a:cubicBezTo>
              <a:cubicBezTo>
                <a:pt x="254454" y="119676"/>
                <a:pt x="370115" y="58772"/>
                <a:pt x="505603" y="34079"/>
              </a:cubicBezTo>
              <a:cubicBezTo>
                <a:pt x="641091" y="9387"/>
                <a:pt x="832758" y="0"/>
                <a:pt x="991378" y="63708"/>
              </a:cubicBezTo>
              <a:cubicBezTo>
                <a:pt x="1149998" y="127416"/>
                <a:pt x="1351578" y="336034"/>
                <a:pt x="1457325" y="416329"/>
              </a:cubicBezTo>
              <a:cubicBezTo>
                <a:pt x="1563072" y="496624"/>
                <a:pt x="1592814" y="517341"/>
                <a:pt x="1625860" y="545478"/>
              </a:cubicBezTo>
              <a:cubicBezTo>
                <a:pt x="1658906" y="573615"/>
                <a:pt x="1625860" y="562009"/>
                <a:pt x="1655601" y="585150"/>
              </a:cubicBezTo>
              <a:cubicBezTo>
                <a:pt x="1685342" y="608291"/>
                <a:pt x="1759696" y="662839"/>
                <a:pt x="1804308" y="684327"/>
              </a:cubicBezTo>
              <a:cubicBezTo>
                <a:pt x="1848920" y="705815"/>
                <a:pt x="1672124" y="666076"/>
                <a:pt x="1923273" y="714081"/>
              </a:cubicBezTo>
              <a:cubicBezTo>
                <a:pt x="2174422" y="762086"/>
                <a:pt x="3022049" y="918548"/>
                <a:pt x="3311201" y="972355"/>
              </a:cubicBezTo>
            </a:path>
          </a:pathLst>
        </a:custGeom>
        <a:noFill xmlns:a="http://schemas.openxmlformats.org/drawingml/2006/main"/>
        <a:ln xmlns:a="http://schemas.openxmlformats.org/drawingml/2006/main" w="3175" cap="rnd" cmpd="sng">
          <a:solidFill>
            <a:srgbClr xmlns:mc="http://schemas.openxmlformats.org/markup-compatibility/2006" xmlns:a14="http://schemas.microsoft.com/office/drawing/2010/main" val="000000" mc:Ignorable="a14" a14:legacySpreadsheetColorIndex="64"/>
          </a:solidFill>
          <a:prstDash val="sysDot"/>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0.24175</cdr:x>
      <cdr:y>0.68</cdr:y>
    </cdr:from>
    <cdr:to>
      <cdr:x>0.7395</cdr:x>
      <cdr:y>0.7855</cdr:y>
    </cdr:to>
    <cdr:sp macro="" textlink="">
      <cdr:nvSpPr>
        <cdr:cNvPr id="1029" name="Freeform 5"/>
        <cdr:cNvSpPr>
          <a:spLocks xmlns:a="http://schemas.openxmlformats.org/drawingml/2006/main"/>
        </cdr:cNvSpPr>
      </cdr:nvSpPr>
      <cdr:spPr bwMode="auto">
        <a:xfrm xmlns:a="http://schemas.openxmlformats.org/drawingml/2006/main">
          <a:off x="651655" y="1599819"/>
          <a:ext cx="1341723" cy="248207"/>
        </a:xfrm>
        <a:custGeom xmlns:a="http://schemas.openxmlformats.org/drawingml/2006/main">
          <a:avLst/>
          <a:gdLst>
            <a:gd name="T0" fmla="*/ 0 w 3311201"/>
            <a:gd name="T1" fmla="*/ 431423 h 431423"/>
            <a:gd name="T2" fmla="*/ 128879 w 3311201"/>
            <a:gd name="T3" fmla="*/ 262821 h 431423"/>
            <a:gd name="T4" fmla="*/ 446120 w 3311201"/>
            <a:gd name="T5" fmla="*/ 94218 h 431423"/>
            <a:gd name="T6" fmla="*/ 981464 w 3311201"/>
            <a:gd name="T7" fmla="*/ 34712 h 431423"/>
            <a:gd name="T8" fmla="*/ 1596118 w 3311201"/>
            <a:gd name="T9" fmla="*/ 302492 h 431423"/>
            <a:gd name="T10" fmla="*/ 3311201 w 3311201"/>
            <a:gd name="T11" fmla="*/ 381834 h 431423"/>
          </a:gdLst>
          <a:ahLst/>
          <a:cxnLst>
            <a:cxn ang="0">
              <a:pos x="T0" y="T1"/>
            </a:cxn>
            <a:cxn ang="0">
              <a:pos x="T2" y="T3"/>
            </a:cxn>
            <a:cxn ang="0">
              <a:pos x="T4" y="T5"/>
            </a:cxn>
            <a:cxn ang="0">
              <a:pos x="T6" y="T7"/>
            </a:cxn>
            <a:cxn ang="0">
              <a:pos x="T8" y="T9"/>
            </a:cxn>
            <a:cxn ang="0">
              <a:pos x="T10" y="T11"/>
            </a:cxn>
          </a:cxnLst>
          <a:rect l="0" t="0" r="r" b="b"/>
          <a:pathLst>
            <a:path w="3311201" h="431423">
              <a:moveTo>
                <a:pt x="0" y="431423"/>
              </a:moveTo>
              <a:cubicBezTo>
                <a:pt x="27263" y="375222"/>
                <a:pt x="54526" y="319022"/>
                <a:pt x="128879" y="262821"/>
              </a:cubicBezTo>
              <a:cubicBezTo>
                <a:pt x="203232" y="206620"/>
                <a:pt x="304023" y="132236"/>
                <a:pt x="446120" y="94218"/>
              </a:cubicBezTo>
              <a:cubicBezTo>
                <a:pt x="588217" y="56200"/>
                <a:pt x="789798" y="0"/>
                <a:pt x="981464" y="34712"/>
              </a:cubicBezTo>
              <a:cubicBezTo>
                <a:pt x="1173130" y="69424"/>
                <a:pt x="1207829" y="244638"/>
                <a:pt x="1596118" y="302492"/>
              </a:cubicBezTo>
              <a:cubicBezTo>
                <a:pt x="1984407" y="360346"/>
                <a:pt x="2647804" y="371090"/>
                <a:pt x="3311201" y="381834"/>
              </a:cubicBezTo>
            </a:path>
          </a:pathLst>
        </a:custGeom>
        <a:noFill xmlns:a="http://schemas.openxmlformats.org/drawingml/2006/main"/>
        <a:ln xmlns:a="http://schemas.openxmlformats.org/drawingml/2006/main" w="3175" cap="rnd" cmpd="sng">
          <a:solidFill>
            <a:srgbClr xmlns:mc="http://schemas.openxmlformats.org/markup-compatibility/2006" xmlns:a14="http://schemas.microsoft.com/office/drawing/2010/main" val="000000" mc:Ignorable="a14" a14:legacySpreadsheetColorIndex="64"/>
          </a:solidFill>
          <a:prstDash val="sysDot"/>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0.24175</cdr:x>
      <cdr:y>0.077</cdr:y>
    </cdr:from>
    <cdr:to>
      <cdr:x>0.7395</cdr:x>
      <cdr:y>0.361</cdr:y>
    </cdr:to>
    <cdr:sp macro="" textlink="">
      <cdr:nvSpPr>
        <cdr:cNvPr id="1030" name="Freeform 6"/>
        <cdr:cNvSpPr>
          <a:spLocks xmlns:a="http://schemas.openxmlformats.org/drawingml/2006/main"/>
        </cdr:cNvSpPr>
      </cdr:nvSpPr>
      <cdr:spPr bwMode="auto">
        <a:xfrm xmlns:a="http://schemas.openxmlformats.org/drawingml/2006/main">
          <a:off x="651655" y="181156"/>
          <a:ext cx="1341723" cy="668160"/>
        </a:xfrm>
        <a:custGeom xmlns:a="http://schemas.openxmlformats.org/drawingml/2006/main">
          <a:avLst/>
          <a:gdLst>
            <a:gd name="T0" fmla="*/ 0 w 3311201"/>
            <a:gd name="T1" fmla="*/ 0 h 1160381"/>
            <a:gd name="T2" fmla="*/ 138793 w 3311201"/>
            <a:gd name="T3" fmla="*/ 578714 h 1160381"/>
            <a:gd name="T4" fmla="*/ 525430 w 3311201"/>
            <a:gd name="T5" fmla="*/ 1069149 h 1160381"/>
            <a:gd name="T6" fmla="*/ 902154 w 3311201"/>
            <a:gd name="T7" fmla="*/ 1126108 h 1160381"/>
            <a:gd name="T8" fmla="*/ 1100429 w 3311201"/>
            <a:gd name="T9" fmla="*/ 932272 h 1160381"/>
            <a:gd name="T10" fmla="*/ 1615946 w 3311201"/>
            <a:gd name="T11" fmla="*/ 333497 h 1160381"/>
            <a:gd name="T12" fmla="*/ 3311201 w 3311201"/>
            <a:gd name="T13" fmla="*/ 0 h 1160381"/>
          </a:gdLst>
          <a:ahLst/>
          <a:cxnLst>
            <a:cxn ang="0">
              <a:pos x="T0" y="T1"/>
            </a:cxn>
            <a:cxn ang="0">
              <a:pos x="T2" y="T3"/>
            </a:cxn>
            <a:cxn ang="0">
              <a:pos x="T4" y="T5"/>
            </a:cxn>
            <a:cxn ang="0">
              <a:pos x="T6" y="T7"/>
            </a:cxn>
            <a:cxn ang="0">
              <a:pos x="T8" y="T9"/>
            </a:cxn>
            <a:cxn ang="0">
              <a:pos x="T10" y="T11"/>
            </a:cxn>
            <a:cxn ang="0">
              <a:pos x="T12" y="T13"/>
            </a:cxn>
          </a:cxnLst>
          <a:rect l="0" t="0" r="r" b="b"/>
          <a:pathLst>
            <a:path w="3311201" h="1160381">
              <a:moveTo>
                <a:pt x="0" y="0"/>
              </a:moveTo>
              <a:cubicBezTo>
                <a:pt x="25610" y="200260"/>
                <a:pt x="51221" y="400522"/>
                <a:pt x="138793" y="578714"/>
              </a:cubicBezTo>
              <a:cubicBezTo>
                <a:pt x="226365" y="756906"/>
                <a:pt x="398203" y="977917"/>
                <a:pt x="525430" y="1069149"/>
              </a:cubicBezTo>
              <a:cubicBezTo>
                <a:pt x="652657" y="1160381"/>
                <a:pt x="806321" y="1148921"/>
                <a:pt x="902154" y="1126108"/>
              </a:cubicBezTo>
              <a:cubicBezTo>
                <a:pt x="997987" y="1103295"/>
                <a:pt x="981464" y="1064374"/>
                <a:pt x="1100429" y="932272"/>
              </a:cubicBezTo>
              <a:cubicBezTo>
                <a:pt x="1219394" y="800170"/>
                <a:pt x="1247484" y="488876"/>
                <a:pt x="1615946" y="333497"/>
              </a:cubicBezTo>
              <a:cubicBezTo>
                <a:pt x="1984408" y="178118"/>
                <a:pt x="2658544" y="82558"/>
                <a:pt x="3311201" y="0"/>
              </a:cubicBezTo>
            </a:path>
          </a:pathLst>
        </a:custGeom>
        <a:noFill xmlns:a="http://schemas.openxmlformats.org/drawingml/2006/main"/>
        <a:ln xmlns:a="http://schemas.openxmlformats.org/drawingml/2006/main" w="3175" cap="flat" cmpd="sng">
          <a:solidFill>
            <a:srgbClr xmlns:mc="http://schemas.openxmlformats.org/markup-compatibility/2006" xmlns:a14="http://schemas.microsoft.com/office/drawing/2010/main" val="000000" mc:Ignorable="a14" a14:legacySpreadsheetColorIndex="64"/>
          </a:solidFill>
          <a:prstDash val="sysDot"/>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dr:relSizeAnchor xmlns:cdr="http://schemas.openxmlformats.org/drawingml/2006/chartDrawing">
    <cdr:from>
      <cdr:x>0.24175</cdr:x>
      <cdr:y>0.077</cdr:y>
    </cdr:from>
    <cdr:to>
      <cdr:x>0.7395</cdr:x>
      <cdr:y>0.172</cdr:y>
    </cdr:to>
    <cdr:sp macro="" textlink="">
      <cdr:nvSpPr>
        <cdr:cNvPr id="1031" name="Freeform 7"/>
        <cdr:cNvSpPr>
          <a:spLocks xmlns:a="http://schemas.openxmlformats.org/drawingml/2006/main"/>
        </cdr:cNvSpPr>
      </cdr:nvSpPr>
      <cdr:spPr bwMode="auto">
        <a:xfrm xmlns:a="http://schemas.openxmlformats.org/drawingml/2006/main">
          <a:off x="651655" y="181156"/>
          <a:ext cx="1341723" cy="223504"/>
        </a:xfrm>
        <a:custGeom xmlns:a="http://schemas.openxmlformats.org/drawingml/2006/main">
          <a:avLst/>
          <a:gdLst>
            <a:gd name="T0" fmla="*/ 0 w 3311201"/>
            <a:gd name="T1" fmla="*/ 0 h 386794"/>
            <a:gd name="T2" fmla="*/ 118966 w 3311201"/>
            <a:gd name="T3" fmla="*/ 287616 h 386794"/>
            <a:gd name="T4" fmla="*/ 574999 w 3311201"/>
            <a:gd name="T5" fmla="*/ 386794 h 386794"/>
            <a:gd name="T6" fmla="*/ 1011205 w 3311201"/>
            <a:gd name="T7" fmla="*/ 287616 h 386794"/>
            <a:gd name="T8" fmla="*/ 1487067 w 3311201"/>
            <a:gd name="T9" fmla="*/ 99178 h 386794"/>
            <a:gd name="T10" fmla="*/ 3311201 w 3311201"/>
            <a:gd name="T11" fmla="*/ 0 h 386794"/>
          </a:gdLst>
          <a:ahLst/>
          <a:cxnLst>
            <a:cxn ang="0">
              <a:pos x="T0" y="T1"/>
            </a:cxn>
            <a:cxn ang="0">
              <a:pos x="T2" y="T3"/>
            </a:cxn>
            <a:cxn ang="0">
              <a:pos x="T4" y="T5"/>
            </a:cxn>
            <a:cxn ang="0">
              <a:pos x="T6" y="T7"/>
            </a:cxn>
            <a:cxn ang="0">
              <a:pos x="T8" y="T9"/>
            </a:cxn>
            <a:cxn ang="0">
              <a:pos x="T10" y="T11"/>
            </a:cxn>
          </a:cxnLst>
          <a:rect l="0" t="0" r="r" b="b"/>
          <a:pathLst>
            <a:path w="3311201" h="386794">
              <a:moveTo>
                <a:pt x="0" y="0"/>
              </a:moveTo>
              <a:cubicBezTo>
                <a:pt x="25611" y="114054"/>
                <a:pt x="23133" y="223150"/>
                <a:pt x="118966" y="287616"/>
              </a:cubicBezTo>
              <a:cubicBezTo>
                <a:pt x="214799" y="352082"/>
                <a:pt x="426293" y="386794"/>
                <a:pt x="574999" y="386794"/>
              </a:cubicBezTo>
              <a:cubicBezTo>
                <a:pt x="723705" y="386794"/>
                <a:pt x="859194" y="335552"/>
                <a:pt x="1011205" y="287616"/>
              </a:cubicBezTo>
              <a:cubicBezTo>
                <a:pt x="1163216" y="239680"/>
                <a:pt x="1103734" y="147114"/>
                <a:pt x="1487067" y="99178"/>
              </a:cubicBezTo>
              <a:cubicBezTo>
                <a:pt x="1870400" y="51242"/>
                <a:pt x="2590800" y="25621"/>
                <a:pt x="3311201" y="0"/>
              </a:cubicBezTo>
            </a:path>
          </a:pathLst>
        </a:custGeom>
        <a:noFill xmlns:a="http://schemas.openxmlformats.org/drawingml/2006/main"/>
        <a:ln xmlns:a="http://schemas.openxmlformats.org/drawingml/2006/main" w="3175" cap="rnd" cmpd="sng">
          <a:solidFill>
            <a:srgbClr xmlns:mc="http://schemas.openxmlformats.org/markup-compatibility/2006" xmlns:a14="http://schemas.microsoft.com/office/drawing/2010/main" val="000000" mc:Ignorable="a14" a14:legacySpreadsheetColorIndex="64"/>
          </a:solidFill>
          <a:prstDash val="sysDot"/>
          <a:round/>
          <a:headEnd type="none" w="med" len="med"/>
          <a:tailEnd type="none" w="med" len="me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Lst>
      </cdr:spPr>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5201</Words>
  <Characters>28611</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Optimization of the heat treatment of phosphate</vt:lpstr>
    </vt:vector>
  </TitlesOfParts>
  <Company/>
  <LinksUpToDate>false</LinksUpToDate>
  <CharactersWithSpaces>33745</CharactersWithSpaces>
  <SharedDoc>false</SharedDoc>
  <HLinks>
    <vt:vector size="36" baseType="variant">
      <vt:variant>
        <vt:i4>8060993</vt:i4>
      </vt:variant>
      <vt:variant>
        <vt:i4>51</vt:i4>
      </vt:variant>
      <vt:variant>
        <vt:i4>0</vt:i4>
      </vt:variant>
      <vt:variant>
        <vt:i4>5</vt:i4>
      </vt:variant>
      <vt:variant>
        <vt:lpwstr>http://www.sciencedirect.com/science?_ob=PublicationURL&amp;_tockey=%23TOC%235228%232007%23998689998%23655374%23FLA%23&amp;_cdi=5228&amp;_pubType=J&amp;view=c&amp;_auth=y&amp;_acct=C000050221&amp;_version=1&amp;_urlVersion=0&amp;_userid=10&amp;md5=91e0a80d2ace8b8523a4ba0914fa66bf</vt:lpwstr>
      </vt:variant>
      <vt:variant>
        <vt:lpwstr/>
      </vt:variant>
      <vt:variant>
        <vt:i4>4521992</vt:i4>
      </vt:variant>
      <vt:variant>
        <vt:i4>48</vt:i4>
      </vt:variant>
      <vt:variant>
        <vt:i4>0</vt:i4>
      </vt:variant>
      <vt:variant>
        <vt:i4>5</vt:i4>
      </vt:variant>
      <vt:variant>
        <vt:lpwstr>http://www.sciencedirect.com/science/journal/13858947</vt:lpwstr>
      </vt:variant>
      <vt:variant>
        <vt:lpwstr/>
      </vt:variant>
      <vt:variant>
        <vt:i4>3538995</vt:i4>
      </vt:variant>
      <vt:variant>
        <vt:i4>45</vt:i4>
      </vt:variant>
      <vt:variant>
        <vt:i4>0</vt:i4>
      </vt:variant>
      <vt:variant>
        <vt:i4>5</vt:i4>
      </vt:variant>
      <vt:variant>
        <vt:lpwstr>http://pubs.giss.nasa.gov/abs/oc01000b.html</vt:lpwstr>
      </vt:variant>
      <vt:variant>
        <vt:lpwstr/>
      </vt:variant>
      <vt:variant>
        <vt:i4>6094850</vt:i4>
      </vt:variant>
      <vt:variant>
        <vt:i4>42</vt:i4>
      </vt:variant>
      <vt:variant>
        <vt:i4>0</vt:i4>
      </vt:variant>
      <vt:variant>
        <vt:i4>5</vt:i4>
      </vt:variant>
      <vt:variant>
        <vt:lpwstr>http://www.ingentaconnect.com/content/els/01968904/2001/00000042/00000004/art00071;jsessionid=56qsh7rk8fp5h.alexandra</vt:lpwstr>
      </vt:variant>
      <vt:variant>
        <vt:lpwstr/>
      </vt:variant>
      <vt:variant>
        <vt:i4>6553723</vt:i4>
      </vt:variant>
      <vt:variant>
        <vt:i4>39</vt:i4>
      </vt:variant>
      <vt:variant>
        <vt:i4>0</vt:i4>
      </vt:variant>
      <vt:variant>
        <vt:i4>5</vt:i4>
      </vt:variant>
      <vt:variant>
        <vt:lpwstr>http://discover-decouvrir.cisti-icist.nrc-cnrc.gc.ca/dcvr/ctrl?action=shwart&amp;aix=3&amp;aid=1661443</vt:lpwstr>
      </vt:variant>
      <vt:variant>
        <vt:lpwstr/>
      </vt:variant>
      <vt:variant>
        <vt:i4>7274576</vt:i4>
      </vt:variant>
      <vt:variant>
        <vt:i4>0</vt:i4>
      </vt:variant>
      <vt:variant>
        <vt:i4>0</vt:i4>
      </vt:variant>
      <vt:variant>
        <vt:i4>5</vt:i4>
      </vt:variant>
      <vt:variant>
        <vt:lpwstr>mailto:dataelouardi@yahoo.fr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the heat treatment of phosphate</dc:title>
  <dc:creator>Olivetti</dc:creator>
  <cp:lastModifiedBy>user</cp:lastModifiedBy>
  <cp:revision>2</cp:revision>
  <cp:lastPrinted>2011-10-28T14:11:00Z</cp:lastPrinted>
  <dcterms:created xsi:type="dcterms:W3CDTF">2019-06-21T22:46:00Z</dcterms:created>
  <dcterms:modified xsi:type="dcterms:W3CDTF">2019-06-21T22:46:00Z</dcterms:modified>
</cp:coreProperties>
</file>