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38" w:rsidRPr="00BD7F4B" w:rsidRDefault="00473038" w:rsidP="00A36AC9">
      <w:pPr>
        <w:tabs>
          <w:tab w:val="left" w:pos="1440"/>
        </w:tabs>
        <w:autoSpaceDE w:val="0"/>
        <w:autoSpaceDN w:val="0"/>
        <w:adjustRightInd w:val="0"/>
        <w:jc w:val="center"/>
        <w:rPr>
          <w:b/>
          <w:bCs/>
          <w:sz w:val="32"/>
          <w:szCs w:val="32"/>
        </w:rPr>
      </w:pPr>
      <w:bookmarkStart w:id="0" w:name="_GoBack"/>
      <w:bookmarkEnd w:id="0"/>
      <w:r w:rsidRPr="00BD7F4B">
        <w:rPr>
          <w:b/>
          <w:bCs/>
          <w:sz w:val="32"/>
          <w:szCs w:val="32"/>
        </w:rPr>
        <w:t>Traitement therm</w:t>
      </w:r>
      <w:r w:rsidR="00693975" w:rsidRPr="00BD7F4B">
        <w:rPr>
          <w:b/>
          <w:bCs/>
          <w:sz w:val="32"/>
          <w:szCs w:val="32"/>
        </w:rPr>
        <w:t>ique des phosphates par mélange à chaud</w:t>
      </w:r>
    </w:p>
    <w:p w:rsidR="00B22795" w:rsidRPr="00BD7F4B" w:rsidRDefault="00B22795" w:rsidP="00CC1502">
      <w:pPr>
        <w:tabs>
          <w:tab w:val="left" w:pos="142"/>
          <w:tab w:val="left" w:pos="227"/>
          <w:tab w:val="left" w:pos="426"/>
          <w:tab w:val="center" w:pos="4536"/>
          <w:tab w:val="right" w:pos="9214"/>
          <w:tab w:val="right" w:pos="9356"/>
        </w:tabs>
        <w:spacing w:before="120" w:after="120"/>
        <w:jc w:val="center"/>
        <w:outlineLvl w:val="0"/>
        <w:rPr>
          <w:bCs/>
          <w:sz w:val="20"/>
          <w:szCs w:val="20"/>
          <w:lang w:val="it-IT"/>
        </w:rPr>
      </w:pPr>
      <w:r w:rsidRPr="00BD7F4B">
        <w:rPr>
          <w:bCs/>
          <w:sz w:val="20"/>
          <w:szCs w:val="20"/>
          <w:lang w:val="it-IT"/>
        </w:rPr>
        <w:t>M. El Ouardi</w:t>
      </w:r>
      <w:r w:rsidRPr="00BD7F4B">
        <w:rPr>
          <w:bCs/>
          <w:sz w:val="20"/>
          <w:szCs w:val="20"/>
          <w:vertAlign w:val="superscript"/>
          <w:lang w:val="it-IT"/>
        </w:rPr>
        <w:t>1</w:t>
      </w:r>
    </w:p>
    <w:p w:rsidR="00EC4216" w:rsidRPr="00BD7F4B" w:rsidRDefault="00EC4216" w:rsidP="00CC1502">
      <w:pPr>
        <w:tabs>
          <w:tab w:val="left" w:pos="142"/>
          <w:tab w:val="left" w:pos="426"/>
          <w:tab w:val="center" w:pos="4536"/>
          <w:tab w:val="right" w:pos="9214"/>
          <w:tab w:val="right" w:pos="9356"/>
        </w:tabs>
        <w:spacing w:before="120"/>
        <w:ind w:firstLine="539"/>
        <w:jc w:val="center"/>
        <w:rPr>
          <w:rStyle w:val="Lienhypertexte"/>
          <w:color w:val="auto"/>
          <w:sz w:val="20"/>
          <w:szCs w:val="20"/>
          <w:lang w:val="en-GB"/>
        </w:rPr>
      </w:pPr>
      <w:r w:rsidRPr="00BD7F4B">
        <w:rPr>
          <w:sz w:val="20"/>
          <w:szCs w:val="20"/>
          <w:lang w:val="en-GB"/>
        </w:rPr>
        <w:t>Corresponding author.</w:t>
      </w:r>
      <w:r w:rsidRPr="00BD7F4B">
        <w:rPr>
          <w:rStyle w:val="Lienhypertexte"/>
          <w:color w:val="auto"/>
          <w:sz w:val="20"/>
          <w:szCs w:val="20"/>
          <w:u w:val="none"/>
          <w:lang w:val="en-GB"/>
        </w:rPr>
        <w:t xml:space="preserve"> </w:t>
      </w:r>
      <w:r w:rsidR="00CC1502">
        <w:rPr>
          <w:rStyle w:val="Lienhypertexte"/>
          <w:color w:val="auto"/>
          <w:sz w:val="20"/>
          <w:szCs w:val="20"/>
          <w:lang w:val="en-GB"/>
        </w:rPr>
        <w:t>data</w:t>
      </w:r>
      <w:hyperlink r:id="rId8" w:history="1">
        <w:r w:rsidR="00CC1502">
          <w:rPr>
            <w:rStyle w:val="Lienhypertexte"/>
            <w:color w:val="auto"/>
            <w:sz w:val="20"/>
            <w:szCs w:val="20"/>
            <w:lang w:val="en-GB"/>
          </w:rPr>
          <w:t>elouardi@gmail</w:t>
        </w:r>
        <w:r w:rsidRPr="00BD7F4B">
          <w:rPr>
            <w:rStyle w:val="Lienhypertexte"/>
            <w:color w:val="auto"/>
            <w:sz w:val="20"/>
            <w:szCs w:val="20"/>
            <w:lang w:val="en-GB"/>
          </w:rPr>
          <w:t>.fr</w:t>
        </w:r>
      </w:hyperlink>
    </w:p>
    <w:p w:rsidR="00BE15FB" w:rsidRPr="00BD7F4B" w:rsidRDefault="00116577" w:rsidP="00631EAB">
      <w:pPr>
        <w:spacing w:before="240" w:after="120"/>
        <w:jc w:val="both"/>
        <w:rPr>
          <w:i/>
          <w:iCs/>
          <w:spacing w:val="1"/>
        </w:rPr>
      </w:pPr>
      <w:r w:rsidRPr="00BD7F4B">
        <w:rPr>
          <w:b/>
          <w:bCs/>
          <w:i/>
          <w:iCs/>
          <w:sz w:val="28"/>
          <w:szCs w:val="28"/>
        </w:rPr>
        <w:t>Résum</w:t>
      </w:r>
      <w:r w:rsidR="00EF7ABB" w:rsidRPr="00BD7F4B">
        <w:rPr>
          <w:b/>
          <w:bCs/>
          <w:i/>
          <w:iCs/>
          <w:sz w:val="28"/>
          <w:szCs w:val="28"/>
        </w:rPr>
        <w:t>é</w:t>
      </w:r>
      <w:r w:rsidR="00915B46" w:rsidRPr="00BD7F4B">
        <w:rPr>
          <w:b/>
          <w:bCs/>
          <w:i/>
          <w:iCs/>
          <w:sz w:val="28"/>
          <w:szCs w:val="28"/>
        </w:rPr>
        <w:t xml:space="preserve">- </w:t>
      </w:r>
      <w:r w:rsidR="000A2A40" w:rsidRPr="00BD7F4B">
        <w:rPr>
          <w:i/>
          <w:iCs/>
        </w:rPr>
        <w:t>Dans cet article,</w:t>
      </w:r>
      <w:r w:rsidR="008760B2" w:rsidRPr="00BD7F4B">
        <w:rPr>
          <w:i/>
          <w:iCs/>
        </w:rPr>
        <w:t xml:space="preserve"> </w:t>
      </w:r>
      <w:r w:rsidR="00BD27E4" w:rsidRPr="00BD7F4B">
        <w:rPr>
          <w:i/>
          <w:iCs/>
        </w:rPr>
        <w:t>n</w:t>
      </w:r>
      <w:r w:rsidR="008760B2" w:rsidRPr="00BD7F4B">
        <w:rPr>
          <w:i/>
          <w:iCs/>
        </w:rPr>
        <w:t xml:space="preserve">ous avons mené une </w:t>
      </w:r>
      <w:r w:rsidR="008760B2" w:rsidRPr="00BD7F4B">
        <w:rPr>
          <w:rFonts w:eastAsia="Times New Roman"/>
          <w:i/>
          <w:iCs/>
          <w:lang w:eastAsia="fr-FR"/>
        </w:rPr>
        <w:t>étude comparative</w:t>
      </w:r>
      <w:r w:rsidR="008760B2" w:rsidRPr="00BD7F4B">
        <w:rPr>
          <w:i/>
          <w:iCs/>
        </w:rPr>
        <w:t xml:space="preserve"> du traitement thermique de </w:t>
      </w:r>
      <w:r w:rsidR="004D328F" w:rsidRPr="00BD7F4B">
        <w:rPr>
          <w:i/>
          <w:iCs/>
        </w:rPr>
        <w:t xml:space="preserve">phosphates </w:t>
      </w:r>
      <w:r w:rsidR="008760B2" w:rsidRPr="00BD7F4B">
        <w:rPr>
          <w:i/>
          <w:iCs/>
        </w:rPr>
        <w:t>par ca</w:t>
      </w:r>
      <w:r w:rsidR="004D328F" w:rsidRPr="00BD7F4B">
        <w:rPr>
          <w:i/>
          <w:iCs/>
        </w:rPr>
        <w:t xml:space="preserve">lcination et par mélange à chaud. </w:t>
      </w:r>
      <w:r w:rsidR="00BE15FB" w:rsidRPr="00BD7F4B">
        <w:rPr>
          <w:i/>
          <w:iCs/>
        </w:rPr>
        <w:t xml:space="preserve">Il en résulte que </w:t>
      </w:r>
      <w:r w:rsidR="008A601F" w:rsidRPr="00BD7F4B">
        <w:rPr>
          <w:i/>
          <w:iCs/>
        </w:rPr>
        <w:t>c</w:t>
      </w:r>
      <w:r w:rsidR="00BE15FB" w:rsidRPr="00BD7F4B">
        <w:rPr>
          <w:i/>
          <w:iCs/>
        </w:rPr>
        <w:t>e</w:t>
      </w:r>
      <w:r w:rsidR="008A601F" w:rsidRPr="00BD7F4B">
        <w:rPr>
          <w:i/>
          <w:iCs/>
        </w:rPr>
        <w:t xml:space="preserve"> dernier d</w:t>
      </w:r>
      <w:r w:rsidR="00BE15FB" w:rsidRPr="00BD7F4B">
        <w:rPr>
          <w:i/>
          <w:iCs/>
        </w:rPr>
        <w:t>onne d</w:t>
      </w:r>
      <w:r w:rsidR="004D328F" w:rsidRPr="00BD7F4B">
        <w:rPr>
          <w:i/>
          <w:iCs/>
          <w:w w:val="101"/>
        </w:rPr>
        <w:t>es</w:t>
      </w:r>
      <w:r w:rsidR="004D328F" w:rsidRPr="00BD7F4B">
        <w:rPr>
          <w:i/>
          <w:iCs/>
        </w:rPr>
        <w:t xml:space="preserve"> </w:t>
      </w:r>
      <w:r w:rsidR="004D328F" w:rsidRPr="00BD7F4B">
        <w:rPr>
          <w:i/>
          <w:iCs/>
          <w:spacing w:val="-3"/>
          <w:w w:val="101"/>
        </w:rPr>
        <w:t>résultat</w:t>
      </w:r>
      <w:r w:rsidR="004D328F" w:rsidRPr="00BD7F4B">
        <w:rPr>
          <w:i/>
          <w:iCs/>
          <w:w w:val="101"/>
        </w:rPr>
        <w:t>s</w:t>
      </w:r>
      <w:r w:rsidR="00BE15FB" w:rsidRPr="00BD7F4B">
        <w:rPr>
          <w:i/>
          <w:iCs/>
          <w:w w:val="101"/>
        </w:rPr>
        <w:t xml:space="preserve"> plus intéressants que la calcination, tant au niveau de la qualité du phosphate produit qu’au niveau de l</w:t>
      </w:r>
      <w:r w:rsidR="00F13140" w:rsidRPr="00BD7F4B">
        <w:rPr>
          <w:i/>
          <w:iCs/>
          <w:w w:val="101"/>
        </w:rPr>
        <w:t xml:space="preserve">a consommation </w:t>
      </w:r>
      <w:r w:rsidR="00BE15FB" w:rsidRPr="00BD7F4B">
        <w:rPr>
          <w:i/>
          <w:iCs/>
          <w:w w:val="101"/>
        </w:rPr>
        <w:t>l’énergie. En effet,</w:t>
      </w:r>
      <w:r w:rsidR="00BE15FB" w:rsidRPr="00BD7F4B">
        <w:rPr>
          <w:i/>
          <w:iCs/>
        </w:rPr>
        <w:t xml:space="preserve"> </w:t>
      </w:r>
      <w:r w:rsidR="004D328F" w:rsidRPr="00BD7F4B">
        <w:rPr>
          <w:i/>
          <w:iCs/>
        </w:rPr>
        <w:t>il apparaît que la procédure de calcination suivie d’un refroidissement par 33% de phosphate de</w:t>
      </w:r>
      <w:r w:rsidR="00B72B32" w:rsidRPr="00BD7F4B">
        <w:rPr>
          <w:i/>
          <w:iCs/>
        </w:rPr>
        <w:t xml:space="preserve"> même source (mélange à chaud) pou</w:t>
      </w:r>
      <w:r w:rsidR="001D0328" w:rsidRPr="00BD7F4B">
        <w:rPr>
          <w:i/>
          <w:iCs/>
        </w:rPr>
        <w:t>r</w:t>
      </w:r>
      <w:r w:rsidR="00B72B32" w:rsidRPr="00BD7F4B">
        <w:rPr>
          <w:i/>
          <w:iCs/>
        </w:rPr>
        <w:t xml:space="preserve">rait </w:t>
      </w:r>
      <w:r w:rsidR="004D328F" w:rsidRPr="00BD7F4B">
        <w:rPr>
          <w:i/>
          <w:iCs/>
        </w:rPr>
        <w:t>avoir d’importantes retombées</w:t>
      </w:r>
      <w:r w:rsidR="0061612A" w:rsidRPr="00BD7F4B">
        <w:rPr>
          <w:i/>
          <w:iCs/>
        </w:rPr>
        <w:t>;</w:t>
      </w:r>
      <w:r w:rsidR="004D328F" w:rsidRPr="00BD7F4B">
        <w:rPr>
          <w:i/>
          <w:iCs/>
        </w:rPr>
        <w:t xml:space="preserve"> sur l’économie de l’énergie et sur le gain de</w:t>
      </w:r>
      <w:r w:rsidR="00F13140" w:rsidRPr="00BD7F4B">
        <w:rPr>
          <w:i/>
          <w:iCs/>
        </w:rPr>
        <w:t xml:space="preserve"> la</w:t>
      </w:r>
      <w:r w:rsidR="004D328F" w:rsidRPr="00BD7F4B">
        <w:rPr>
          <w:i/>
          <w:iCs/>
        </w:rPr>
        <w:t xml:space="preserve"> productivité tout en préservant l’environnement et</w:t>
      </w:r>
      <w:r w:rsidR="004D328F" w:rsidRPr="00BD7F4B">
        <w:rPr>
          <w:i/>
          <w:iCs/>
          <w:spacing w:val="1"/>
        </w:rPr>
        <w:t xml:space="preserve"> en respectant la qualité demandé</w:t>
      </w:r>
      <w:r w:rsidR="00900278" w:rsidRPr="00BD7F4B">
        <w:rPr>
          <w:i/>
          <w:iCs/>
          <w:spacing w:val="1"/>
        </w:rPr>
        <w:t>e</w:t>
      </w:r>
      <w:r w:rsidR="004D328F" w:rsidRPr="00BD7F4B">
        <w:rPr>
          <w:i/>
          <w:iCs/>
          <w:spacing w:val="1"/>
        </w:rPr>
        <w:t xml:space="preserve"> par </w:t>
      </w:r>
      <w:r w:rsidR="004D328F" w:rsidRPr="00BD7F4B">
        <w:rPr>
          <w:i/>
          <w:iCs/>
        </w:rPr>
        <w:t>le</w:t>
      </w:r>
      <w:r w:rsidR="004D328F" w:rsidRPr="00BD7F4B">
        <w:rPr>
          <w:i/>
          <w:iCs/>
          <w:spacing w:val="1"/>
        </w:rPr>
        <w:t>s différentes filières de valorisation des phosphates.</w:t>
      </w:r>
    </w:p>
    <w:p w:rsidR="00900278" w:rsidRPr="00BD7F4B" w:rsidRDefault="009A44CF" w:rsidP="00B12867">
      <w:pPr>
        <w:spacing w:before="240"/>
        <w:jc w:val="both"/>
        <w:textAlignment w:val="top"/>
        <w:rPr>
          <w:rFonts w:eastAsia="Times New Roman"/>
          <w:i/>
          <w:iCs/>
          <w:lang w:val="en-US" w:eastAsia="fr-FR"/>
        </w:rPr>
      </w:pPr>
      <w:r w:rsidRPr="00BD7F4B">
        <w:rPr>
          <w:b/>
          <w:i/>
          <w:iCs/>
          <w:sz w:val="28"/>
          <w:szCs w:val="28"/>
          <w:lang w:val="en-GB"/>
        </w:rPr>
        <w:t>Abstract</w:t>
      </w:r>
      <w:r w:rsidR="00915B46" w:rsidRPr="00BD7F4B">
        <w:rPr>
          <w:bCs/>
          <w:i/>
          <w:iCs/>
          <w:sz w:val="28"/>
          <w:szCs w:val="28"/>
          <w:lang w:val="en-GB"/>
        </w:rPr>
        <w:t>-</w:t>
      </w:r>
      <w:r w:rsidR="00CF3D9A" w:rsidRPr="00BD7F4B">
        <w:rPr>
          <w:bCs/>
          <w:i/>
          <w:iCs/>
          <w:lang w:val="en-GB"/>
        </w:rPr>
        <w:t xml:space="preserve"> </w:t>
      </w:r>
      <w:r w:rsidR="00900278" w:rsidRPr="00BD7F4B">
        <w:rPr>
          <w:rFonts w:eastAsia="Times New Roman"/>
          <w:i/>
          <w:iCs/>
          <w:lang w:val="en-US" w:eastAsia="fr-FR"/>
        </w:rPr>
        <w:t>In this article, we led a comparative study of the heat treatment of phosphates by calcination and by hot mixture. As a result this last one gives profits more interesting than the calcination, both at the level of the quality of the produced phosphate and</w:t>
      </w:r>
      <w:r w:rsidR="00B12867" w:rsidRPr="00BD7F4B">
        <w:rPr>
          <w:rFonts w:eastAsia="Times New Roman"/>
          <w:i/>
          <w:iCs/>
          <w:lang w:val="en-US" w:eastAsia="fr-FR"/>
        </w:rPr>
        <w:t xml:space="preserve"> the level</w:t>
      </w:r>
      <w:r w:rsidR="00900278" w:rsidRPr="00BD7F4B">
        <w:rPr>
          <w:rFonts w:eastAsia="Times New Roman"/>
          <w:i/>
          <w:iCs/>
          <w:lang w:val="en-US" w:eastAsia="fr-FR"/>
        </w:rPr>
        <w:t xml:space="preserve"> of the consumption the energy. Indeed, it seems that the procedure of calcination followed by a cooling by 33 % </w:t>
      </w:r>
      <w:r w:rsidR="0034353A" w:rsidRPr="00BD7F4B">
        <w:rPr>
          <w:rFonts w:eastAsia="Times New Roman"/>
          <w:i/>
          <w:iCs/>
          <w:lang w:val="en-US" w:eastAsia="fr-FR"/>
        </w:rPr>
        <w:t xml:space="preserve">of phosphate of the same </w:t>
      </w:r>
      <w:r w:rsidR="00900278" w:rsidRPr="00BD7F4B">
        <w:rPr>
          <w:rFonts w:eastAsia="Times New Roman"/>
          <w:i/>
          <w:iCs/>
          <w:lang w:val="en-US" w:eastAsia="fr-FR"/>
        </w:rPr>
        <w:t>spring ( hot mixture) could have important effects; on the economy of the energy and on the</w:t>
      </w:r>
      <w:r w:rsidR="00387CBD" w:rsidRPr="00BD7F4B">
        <w:rPr>
          <w:rFonts w:eastAsia="Times New Roman"/>
          <w:i/>
          <w:iCs/>
          <w:lang w:val="en-US" w:eastAsia="fr-FR"/>
        </w:rPr>
        <w:t xml:space="preserve"> </w:t>
      </w:r>
      <w:r w:rsidR="00900278" w:rsidRPr="00BD7F4B">
        <w:rPr>
          <w:rFonts w:eastAsia="Times New Roman"/>
          <w:i/>
          <w:iCs/>
          <w:lang w:val="en-US" w:eastAsia="fr-FR"/>
        </w:rPr>
        <w:t>gain of the productivity while protecting the environment and by respecting the quality asked by the various sectors of valuation of phosphates.</w:t>
      </w:r>
    </w:p>
    <w:p w:rsidR="00FA082C" w:rsidRPr="00BD7F4B" w:rsidRDefault="00FA082C" w:rsidP="00FA082C">
      <w:pPr>
        <w:tabs>
          <w:tab w:val="left" w:pos="8100"/>
        </w:tabs>
        <w:autoSpaceDE w:val="0"/>
        <w:autoSpaceDN w:val="0"/>
        <w:adjustRightInd w:val="0"/>
        <w:spacing w:before="120"/>
        <w:jc w:val="both"/>
        <w:rPr>
          <w:b/>
          <w:bCs/>
          <w:u w:val="single"/>
        </w:rPr>
      </w:pPr>
      <w:r w:rsidRPr="00BD7F4B">
        <w:rPr>
          <w:b/>
          <w:bCs/>
        </w:rPr>
        <w:t xml:space="preserve">Mots clés: </w:t>
      </w:r>
      <w:r w:rsidRPr="00BD7F4B">
        <w:rPr>
          <w:lang w:eastAsia="fr-FR"/>
        </w:rPr>
        <w:t>Phosphate</w:t>
      </w:r>
      <w:r w:rsidRPr="00BD7F4B">
        <w:rPr>
          <w:b/>
          <w:bCs/>
          <w:lang w:eastAsia="fr-FR"/>
        </w:rPr>
        <w:t>,</w:t>
      </w:r>
      <w:r w:rsidRPr="00BD7F4B">
        <w:t xml:space="preserve"> </w:t>
      </w:r>
      <w:r w:rsidRPr="00BD7F4B">
        <w:rPr>
          <w:lang w:eastAsia="fr-FR"/>
        </w:rPr>
        <w:t>Calcination</w:t>
      </w:r>
      <w:r w:rsidRPr="00BD7F4B">
        <w:rPr>
          <w:b/>
          <w:bCs/>
          <w:lang w:eastAsia="fr-FR"/>
        </w:rPr>
        <w:t>,</w:t>
      </w:r>
      <w:r w:rsidRPr="00BD7F4B">
        <w:rPr>
          <w:lang w:eastAsia="fr-FR"/>
        </w:rPr>
        <w:t xml:space="preserve"> Energie, Mélange</w:t>
      </w:r>
      <w:r w:rsidRPr="00BD7F4B">
        <w:rPr>
          <w:b/>
          <w:bCs/>
          <w:lang w:eastAsia="fr-FR"/>
        </w:rPr>
        <w:t>,</w:t>
      </w:r>
      <w:r w:rsidRPr="00BD7F4B">
        <w:rPr>
          <w:lang w:eastAsia="fr-FR"/>
        </w:rPr>
        <w:t xml:space="preserve"> Refroidissement, </w:t>
      </w:r>
      <w:r w:rsidRPr="00BD7F4B">
        <w:t>Environnement</w:t>
      </w:r>
      <w:r w:rsidRPr="00BD7F4B">
        <w:rPr>
          <w:lang w:eastAsia="fr-FR"/>
        </w:rPr>
        <w:t>.</w:t>
      </w:r>
    </w:p>
    <w:p w:rsidR="00116577" w:rsidRPr="00BD7F4B" w:rsidRDefault="00915B46" w:rsidP="00362C3B">
      <w:pPr>
        <w:tabs>
          <w:tab w:val="left" w:pos="8100"/>
        </w:tabs>
        <w:autoSpaceDE w:val="0"/>
        <w:autoSpaceDN w:val="0"/>
        <w:adjustRightInd w:val="0"/>
        <w:spacing w:before="1080" w:after="240"/>
        <w:jc w:val="center"/>
        <w:rPr>
          <w:b/>
          <w:bCs/>
          <w:sz w:val="28"/>
          <w:szCs w:val="28"/>
          <w:lang w:eastAsia="fr-FR"/>
        </w:rPr>
      </w:pPr>
      <w:r w:rsidRPr="00BD7F4B">
        <w:rPr>
          <w:b/>
          <w:bCs/>
          <w:sz w:val="28"/>
          <w:szCs w:val="28"/>
          <w:lang w:eastAsia="fr-FR"/>
        </w:rPr>
        <w:t>1. INTRODUCTION</w:t>
      </w:r>
    </w:p>
    <w:p w:rsidR="00050AA8" w:rsidRPr="00BD7F4B" w:rsidRDefault="00F2198C" w:rsidP="002D3A6E">
      <w:pPr>
        <w:pStyle w:val="normal0"/>
        <w:ind w:firstLine="567"/>
        <w:rPr>
          <w:rFonts w:ascii="Times New Roman" w:hAnsi="Times New Roman"/>
          <w:b/>
          <w:bCs/>
        </w:rPr>
      </w:pPr>
      <w:r w:rsidRPr="00BD7F4B">
        <w:rPr>
          <w:rFonts w:ascii="Times New Roman" w:hAnsi="Times New Roman"/>
        </w:rPr>
        <w:t>Les gisements des phosphates naturels marocains constituent une famille de produits très divers, selon leur origine, le type de formation et l’histoire géologique. Leur efficacité agronomique dépend d’abord de leurs caractéristiques intrinsèques: minéralogie, cristallographie, surface spécifique, solubilité…. Pour cela, ils subissent des opérations d’enrichissement de différents types suivant les spécificités granulométriques et chimiques. Parmi les techniques spéciales d’enrichissement</w:t>
      </w:r>
      <w:r w:rsidR="00A34CD6" w:rsidRPr="00BD7F4B">
        <w:rPr>
          <w:rFonts w:ascii="Times New Roman" w:hAnsi="Times New Roman"/>
        </w:rPr>
        <w:t xml:space="preserve"> des phosphates carbonatés</w:t>
      </w:r>
      <w:r w:rsidRPr="00BD7F4B">
        <w:rPr>
          <w:rFonts w:ascii="Times New Roman" w:hAnsi="Times New Roman"/>
        </w:rPr>
        <w:t xml:space="preserve"> qui peuvent être appliquées est la calcination; par laquelle est destinée à éliminer la matière organique</w:t>
      </w:r>
      <w:r w:rsidR="0088757F" w:rsidRPr="00BD7F4B">
        <w:rPr>
          <w:rFonts w:ascii="Times New Roman" w:hAnsi="Times New Roman"/>
        </w:rPr>
        <w:t xml:space="preserve">, </w:t>
      </w:r>
      <w:r w:rsidR="006A555F" w:rsidRPr="00BD7F4B">
        <w:rPr>
          <w:rFonts w:ascii="Times New Roman" w:hAnsi="Times New Roman"/>
        </w:rPr>
        <w:t>l</w:t>
      </w:r>
      <w:r w:rsidR="0088757F" w:rsidRPr="00BD7F4B">
        <w:rPr>
          <w:rFonts w:ascii="Times New Roman" w:hAnsi="Times New Roman"/>
        </w:rPr>
        <w:t xml:space="preserve">es carbonates et la </w:t>
      </w:r>
      <w:r w:rsidR="0088757F" w:rsidRPr="00BD7F4B">
        <w:rPr>
          <w:rFonts w:ascii="Times New Roman" w:hAnsi="Times New Roman"/>
          <w:lang w:bidi="he-IL"/>
        </w:rPr>
        <w:t>stabilisation des métaux lourds</w:t>
      </w:r>
      <w:r w:rsidRPr="00BD7F4B">
        <w:rPr>
          <w:rFonts w:ascii="Times New Roman" w:hAnsi="Times New Roman"/>
        </w:rPr>
        <w:t xml:space="preserve"> et agit également sur les propriétés d’usage </w:t>
      </w:r>
      <w:r w:rsidR="007D0B14" w:rsidRPr="00BD7F4B">
        <w:rPr>
          <w:rFonts w:ascii="Times New Roman" w:hAnsi="Times New Roman"/>
          <w:b/>
          <w:bCs/>
        </w:rPr>
        <w:t>[1-7]</w:t>
      </w:r>
      <w:r w:rsidRPr="00BD7F4B">
        <w:rPr>
          <w:rFonts w:ascii="Times New Roman" w:hAnsi="Times New Roman"/>
        </w:rPr>
        <w:t xml:space="preserve">. Le temps, la température et les propriétés physico-chimiques des phosphates sont des paramètres principaux de </w:t>
      </w:r>
      <w:r w:rsidR="00654D4A" w:rsidRPr="00BD7F4B">
        <w:rPr>
          <w:rFonts w:ascii="Times New Roman" w:hAnsi="Times New Roman"/>
        </w:rPr>
        <w:t xml:space="preserve">la </w:t>
      </w:r>
      <w:r w:rsidRPr="00BD7F4B">
        <w:rPr>
          <w:rFonts w:ascii="Times New Roman" w:hAnsi="Times New Roman"/>
        </w:rPr>
        <w:t xml:space="preserve">calcination </w:t>
      </w:r>
      <w:r w:rsidR="007D0B14" w:rsidRPr="00BD7F4B">
        <w:rPr>
          <w:rFonts w:ascii="Times New Roman" w:hAnsi="Times New Roman"/>
          <w:b/>
          <w:bCs/>
        </w:rPr>
        <w:t>[3, 4]</w:t>
      </w:r>
      <w:r w:rsidRPr="00BD7F4B">
        <w:rPr>
          <w:rFonts w:ascii="Times New Roman" w:hAnsi="Times New Roman"/>
        </w:rPr>
        <w:t xml:space="preserve">. </w:t>
      </w:r>
      <w:r w:rsidR="00314090" w:rsidRPr="00BD7F4B">
        <w:rPr>
          <w:rFonts w:ascii="Times New Roman" w:hAnsi="Times New Roman"/>
        </w:rPr>
        <w:t>Ils ont un impact direct sur l</w:t>
      </w:r>
      <w:r w:rsidR="008C71B4" w:rsidRPr="00BD7F4B">
        <w:rPr>
          <w:rFonts w:ascii="Times New Roman" w:hAnsi="Times New Roman"/>
        </w:rPr>
        <w:t>’état de</w:t>
      </w:r>
      <w:r w:rsidR="00314090" w:rsidRPr="00BD7F4B">
        <w:rPr>
          <w:rFonts w:ascii="Times New Roman" w:hAnsi="Times New Roman"/>
        </w:rPr>
        <w:t xml:space="preserve"> marche et par conséquent, </w:t>
      </w:r>
      <w:r w:rsidR="00314090" w:rsidRPr="00BD7F4B">
        <w:rPr>
          <w:rFonts w:ascii="Times New Roman" w:hAnsi="Times New Roman"/>
          <w:spacing w:val="-3"/>
          <w:w w:val="101"/>
        </w:rPr>
        <w:t>su</w:t>
      </w:r>
      <w:r w:rsidR="00314090" w:rsidRPr="00BD7F4B">
        <w:rPr>
          <w:rFonts w:ascii="Times New Roman" w:hAnsi="Times New Roman"/>
          <w:w w:val="101"/>
        </w:rPr>
        <w:t>r</w:t>
      </w:r>
      <w:r w:rsidR="00314090" w:rsidRPr="00BD7F4B">
        <w:rPr>
          <w:rFonts w:ascii="Times New Roman" w:hAnsi="Times New Roman"/>
        </w:rPr>
        <w:t xml:space="preserve"> </w:t>
      </w:r>
      <w:r w:rsidR="00314090" w:rsidRPr="00BD7F4B">
        <w:rPr>
          <w:rFonts w:ascii="Times New Roman" w:hAnsi="Times New Roman"/>
          <w:spacing w:val="-4"/>
          <w:w w:val="101"/>
        </w:rPr>
        <w:t>le rendemen</w:t>
      </w:r>
      <w:r w:rsidR="00314090" w:rsidRPr="00BD7F4B">
        <w:rPr>
          <w:rFonts w:ascii="Times New Roman" w:hAnsi="Times New Roman"/>
          <w:w w:val="101"/>
        </w:rPr>
        <w:t>t global.</w:t>
      </w:r>
      <w:r w:rsidR="0031319D" w:rsidRPr="00BD7F4B">
        <w:rPr>
          <w:rFonts w:ascii="Times New Roman" w:hAnsi="Times New Roman"/>
        </w:rPr>
        <w:t xml:space="preserve"> </w:t>
      </w:r>
      <w:r w:rsidR="008C71B4" w:rsidRPr="00BD7F4B">
        <w:rPr>
          <w:rFonts w:ascii="Times New Roman" w:hAnsi="Times New Roman"/>
        </w:rPr>
        <w:t>La plupart des opérations de la calcination</w:t>
      </w:r>
      <w:r w:rsidR="0034656E" w:rsidRPr="00BD7F4B">
        <w:rPr>
          <w:rFonts w:ascii="Times New Roman" w:hAnsi="Times New Roman"/>
        </w:rPr>
        <w:t xml:space="preserve">, </w:t>
      </w:r>
      <w:r w:rsidR="008C71B4" w:rsidRPr="00BD7F4B">
        <w:rPr>
          <w:rFonts w:ascii="Times New Roman" w:hAnsi="Times New Roman"/>
        </w:rPr>
        <w:t xml:space="preserve">sont </w:t>
      </w:r>
      <w:r w:rsidR="0034656E" w:rsidRPr="00BD7F4B">
        <w:rPr>
          <w:rFonts w:ascii="Times New Roman" w:hAnsi="Times New Roman"/>
        </w:rPr>
        <w:t>à base d</w:t>
      </w:r>
      <w:r w:rsidR="00034BDE" w:rsidRPr="00BD7F4B">
        <w:rPr>
          <w:rFonts w:ascii="Times New Roman" w:hAnsi="Times New Roman"/>
        </w:rPr>
        <w:t>u</w:t>
      </w:r>
      <w:r w:rsidR="0034656E" w:rsidRPr="00BD7F4B">
        <w:rPr>
          <w:rFonts w:ascii="Times New Roman" w:hAnsi="Times New Roman"/>
        </w:rPr>
        <w:t xml:space="preserve"> lit fluidisé, </w:t>
      </w:r>
      <w:r w:rsidR="0031319D" w:rsidRPr="00BD7F4B">
        <w:rPr>
          <w:rFonts w:ascii="Times New Roman" w:hAnsi="Times New Roman"/>
        </w:rPr>
        <w:t>présent</w:t>
      </w:r>
      <w:r w:rsidR="008C71B4" w:rsidRPr="00BD7F4B">
        <w:rPr>
          <w:rFonts w:ascii="Times New Roman" w:hAnsi="Times New Roman"/>
        </w:rPr>
        <w:t>e</w:t>
      </w:r>
      <w:r w:rsidR="0031319D" w:rsidRPr="00BD7F4B">
        <w:rPr>
          <w:rFonts w:ascii="Times New Roman" w:hAnsi="Times New Roman"/>
        </w:rPr>
        <w:t xml:space="preserve">s de </w:t>
      </w:r>
      <w:r w:rsidR="000921F2" w:rsidRPr="00BD7F4B">
        <w:rPr>
          <w:rFonts w:ascii="Times New Roman" w:hAnsi="Times New Roman"/>
        </w:rPr>
        <w:t>nombreux</w:t>
      </w:r>
      <w:r w:rsidR="0031319D" w:rsidRPr="00BD7F4B">
        <w:rPr>
          <w:rFonts w:ascii="Times New Roman" w:hAnsi="Times New Roman"/>
        </w:rPr>
        <w:t xml:space="preserve"> avantages en particulier la facilité de la manutention et un excellent transfert thermique</w:t>
      </w:r>
      <w:r w:rsidR="0031319D" w:rsidRPr="00BD7F4B">
        <w:rPr>
          <w:rFonts w:ascii="Times New Roman" w:hAnsi="Times New Roman"/>
          <w:b/>
          <w:bCs/>
        </w:rPr>
        <w:t xml:space="preserve"> [</w:t>
      </w:r>
      <w:r w:rsidR="0066307B" w:rsidRPr="00BD7F4B">
        <w:rPr>
          <w:rFonts w:ascii="Times New Roman" w:hAnsi="Times New Roman"/>
          <w:b/>
          <w:bCs/>
        </w:rPr>
        <w:t>5</w:t>
      </w:r>
      <w:r w:rsidR="0031319D" w:rsidRPr="00BD7F4B">
        <w:rPr>
          <w:rFonts w:ascii="Times New Roman" w:hAnsi="Times New Roman"/>
          <w:b/>
          <w:bCs/>
        </w:rPr>
        <w:t xml:space="preserve">; </w:t>
      </w:r>
      <w:r w:rsidR="0066307B" w:rsidRPr="00BD7F4B">
        <w:rPr>
          <w:rFonts w:ascii="Times New Roman" w:hAnsi="Times New Roman"/>
          <w:b/>
          <w:bCs/>
        </w:rPr>
        <w:t>8</w:t>
      </w:r>
      <w:r w:rsidR="0031319D" w:rsidRPr="00BD7F4B">
        <w:rPr>
          <w:rFonts w:ascii="Times New Roman" w:hAnsi="Times New Roman"/>
          <w:b/>
          <w:bCs/>
        </w:rPr>
        <w:t xml:space="preserve">; </w:t>
      </w:r>
      <w:r w:rsidR="0066307B" w:rsidRPr="00BD7F4B">
        <w:rPr>
          <w:rFonts w:ascii="Times New Roman" w:hAnsi="Times New Roman"/>
          <w:b/>
          <w:bCs/>
        </w:rPr>
        <w:t>9</w:t>
      </w:r>
      <w:r w:rsidR="0031319D" w:rsidRPr="00BD7F4B">
        <w:rPr>
          <w:rFonts w:ascii="Times New Roman" w:hAnsi="Times New Roman"/>
          <w:b/>
          <w:bCs/>
        </w:rPr>
        <w:t>].</w:t>
      </w:r>
      <w:r w:rsidR="00A34CD6" w:rsidRPr="00BD7F4B">
        <w:rPr>
          <w:rFonts w:ascii="Times New Roman" w:hAnsi="Times New Roman"/>
        </w:rPr>
        <w:t xml:space="preserve"> La</w:t>
      </w:r>
      <w:r w:rsidR="00A34CD6" w:rsidRPr="00BD7F4B">
        <w:rPr>
          <w:rFonts w:ascii="Times New Roman" w:hAnsi="Times New Roman"/>
          <w:b/>
          <w:bCs/>
        </w:rPr>
        <w:t xml:space="preserve"> </w:t>
      </w:r>
      <w:r w:rsidR="00A622D6" w:rsidRPr="00BD7F4B">
        <w:rPr>
          <w:rFonts w:ascii="Times New Roman" w:hAnsi="Times New Roman"/>
        </w:rPr>
        <w:t>calcination</w:t>
      </w:r>
      <w:r w:rsidR="00A34CD6" w:rsidRPr="00BD7F4B">
        <w:rPr>
          <w:rFonts w:ascii="Times New Roman" w:hAnsi="Times New Roman"/>
        </w:rPr>
        <w:t xml:space="preserve"> peut être</w:t>
      </w:r>
      <w:r w:rsidR="00050AA8" w:rsidRPr="00BD7F4B">
        <w:rPr>
          <w:rFonts w:ascii="Times New Roman" w:hAnsi="Times New Roman"/>
        </w:rPr>
        <w:t xml:space="preserve"> suivie d’une extinction, afin d’éliminer les fines particules</w:t>
      </w:r>
      <w:r w:rsidR="00DD5FB9" w:rsidRPr="00BD7F4B">
        <w:rPr>
          <w:rFonts w:ascii="Times New Roman" w:hAnsi="Times New Roman"/>
        </w:rPr>
        <w:t xml:space="preserve"> pauvre</w:t>
      </w:r>
      <w:r w:rsidR="00034BDE" w:rsidRPr="00BD7F4B">
        <w:rPr>
          <w:rFonts w:ascii="Times New Roman" w:hAnsi="Times New Roman"/>
        </w:rPr>
        <w:t>s</w:t>
      </w:r>
      <w:r w:rsidR="00DD5FB9" w:rsidRPr="00BD7F4B">
        <w:rPr>
          <w:rFonts w:ascii="Times New Roman" w:hAnsi="Times New Roman"/>
        </w:rPr>
        <w:t xml:space="preserve"> en phosphore et riche en impuretés</w:t>
      </w:r>
      <w:r w:rsidR="00050AA8" w:rsidRPr="00BD7F4B">
        <w:rPr>
          <w:rFonts w:ascii="Times New Roman" w:hAnsi="Times New Roman"/>
        </w:rPr>
        <w:t xml:space="preserve">. La décarbonatation débute aux environs de </w:t>
      </w:r>
      <w:smartTag w:uri="urn:schemas-microsoft-com:office:smarttags" w:element="metricconverter">
        <w:smartTagPr>
          <w:attr w:name="ProductID" w:val="800ﾰC"/>
        </w:smartTagPr>
        <w:r w:rsidR="00050AA8" w:rsidRPr="00BD7F4B">
          <w:rPr>
            <w:rFonts w:ascii="Times New Roman" w:hAnsi="Times New Roman"/>
          </w:rPr>
          <w:t>800°C</w:t>
        </w:r>
      </w:smartTag>
      <w:r w:rsidR="00050AA8" w:rsidRPr="00BD7F4B">
        <w:rPr>
          <w:rFonts w:ascii="Times New Roman" w:hAnsi="Times New Roman"/>
        </w:rPr>
        <w:t>, alors que le grillage de la matière organique commence à des tempé</w:t>
      </w:r>
      <w:r w:rsidR="005770E1" w:rsidRPr="00BD7F4B">
        <w:rPr>
          <w:rFonts w:ascii="Times New Roman" w:hAnsi="Times New Roman"/>
        </w:rPr>
        <w:t xml:space="preserve">ratures de l’ordre de 600 à </w:t>
      </w:r>
      <w:smartTag w:uri="urn:schemas-microsoft-com:office:smarttags" w:element="metricconverter">
        <w:smartTagPr>
          <w:attr w:name="ProductID" w:val="700ﾰC"/>
        </w:smartTagPr>
        <w:r w:rsidR="005770E1" w:rsidRPr="00BD7F4B">
          <w:rPr>
            <w:rFonts w:ascii="Times New Roman" w:hAnsi="Times New Roman"/>
          </w:rPr>
          <w:t>700</w:t>
        </w:r>
        <w:r w:rsidR="00050AA8" w:rsidRPr="00BD7F4B">
          <w:rPr>
            <w:rFonts w:ascii="Times New Roman" w:hAnsi="Times New Roman"/>
          </w:rPr>
          <w:t>°C</w:t>
        </w:r>
      </w:smartTag>
      <w:r w:rsidR="00050AA8" w:rsidRPr="00BD7F4B">
        <w:rPr>
          <w:rFonts w:ascii="Times New Roman" w:hAnsi="Times New Roman"/>
        </w:rPr>
        <w:t>. On élimine ainsi 85 à 90 % du CO</w:t>
      </w:r>
      <w:r w:rsidR="00050AA8" w:rsidRPr="00BD7F4B">
        <w:rPr>
          <w:rFonts w:ascii="Times New Roman" w:hAnsi="Times New Roman"/>
          <w:vertAlign w:val="subscript"/>
        </w:rPr>
        <w:t>2</w:t>
      </w:r>
      <w:r w:rsidR="00050AA8" w:rsidRPr="00BD7F4B">
        <w:rPr>
          <w:rFonts w:ascii="Times New Roman" w:hAnsi="Times New Roman"/>
        </w:rPr>
        <w:t xml:space="preserve"> total </w:t>
      </w:r>
      <w:r w:rsidR="00F578C9" w:rsidRPr="00BD7F4B">
        <w:rPr>
          <w:rFonts w:ascii="Times New Roman" w:hAnsi="Times New Roman"/>
          <w:b/>
          <w:bCs/>
        </w:rPr>
        <w:t>[15</w:t>
      </w:r>
      <w:r w:rsidR="00050AA8" w:rsidRPr="00BD7F4B">
        <w:rPr>
          <w:rFonts w:ascii="Times New Roman" w:hAnsi="Times New Roman"/>
          <w:b/>
          <w:bCs/>
        </w:rPr>
        <w:t>]</w:t>
      </w:r>
      <w:r w:rsidR="00050AA8" w:rsidRPr="00BD7F4B">
        <w:rPr>
          <w:rFonts w:ascii="Times New Roman" w:hAnsi="Times New Roman"/>
        </w:rPr>
        <w:t>. Cette opération présente, cependant, quelques difficultés: (i) la formation de la chaux</w:t>
      </w:r>
      <w:r w:rsidR="005770E1" w:rsidRPr="00BD7F4B">
        <w:rPr>
          <w:rFonts w:ascii="Times New Roman" w:hAnsi="Times New Roman"/>
        </w:rPr>
        <w:t xml:space="preserve"> </w:t>
      </w:r>
      <w:r w:rsidR="00050AA8" w:rsidRPr="00BD7F4B">
        <w:rPr>
          <w:rFonts w:ascii="Times New Roman" w:hAnsi="Times New Roman"/>
          <w:b/>
          <w:bCs/>
        </w:rPr>
        <w:t xml:space="preserve">« </w:t>
      </w:r>
      <w:r w:rsidR="00050AA8" w:rsidRPr="00BD7F4B">
        <w:rPr>
          <w:rFonts w:ascii="Times New Roman" w:hAnsi="Times New Roman"/>
        </w:rPr>
        <w:t xml:space="preserve">grillée à mort </w:t>
      </w:r>
      <w:r w:rsidR="00050AA8" w:rsidRPr="00BD7F4B">
        <w:rPr>
          <w:rFonts w:ascii="Times New Roman" w:hAnsi="Times New Roman"/>
          <w:b/>
          <w:bCs/>
        </w:rPr>
        <w:t xml:space="preserve">», </w:t>
      </w:r>
      <w:r w:rsidR="00050AA8" w:rsidRPr="00BD7F4B">
        <w:rPr>
          <w:rFonts w:ascii="Times New Roman" w:hAnsi="Times New Roman"/>
        </w:rPr>
        <w:t>qui est difficile à éliminer par une opération d’extinction- lavage, (ii) la carbonato-fluoro-apatite calcinée à des températures élevées est rebelle à l’attaque sulfurique lors de la fabrication de l’acide phosphorique; le contenu en CO</w:t>
      </w:r>
      <w:r w:rsidR="00050AA8" w:rsidRPr="00BD7F4B">
        <w:rPr>
          <w:rFonts w:ascii="Times New Roman" w:hAnsi="Times New Roman"/>
          <w:vertAlign w:val="subscript"/>
        </w:rPr>
        <w:t>2</w:t>
      </w:r>
      <w:r w:rsidR="00050AA8" w:rsidRPr="00BD7F4B">
        <w:rPr>
          <w:rFonts w:ascii="Times New Roman" w:hAnsi="Times New Roman"/>
        </w:rPr>
        <w:t xml:space="preserve"> de l’apatite, que traduit la dimension </w:t>
      </w:r>
      <w:r w:rsidR="00050AA8" w:rsidRPr="00BD7F4B">
        <w:rPr>
          <w:rFonts w:ascii="Times New Roman" w:hAnsi="Times New Roman"/>
          <w:b/>
          <w:bCs/>
        </w:rPr>
        <w:t>«</w:t>
      </w:r>
      <w:r w:rsidR="001E0E34" w:rsidRPr="00BD7F4B">
        <w:rPr>
          <w:rFonts w:ascii="Times New Roman" w:hAnsi="Times New Roman"/>
        </w:rPr>
        <w:t>a</w:t>
      </w:r>
      <w:r w:rsidR="00050AA8" w:rsidRPr="00BD7F4B">
        <w:rPr>
          <w:rFonts w:ascii="Times New Roman" w:hAnsi="Times New Roman"/>
        </w:rPr>
        <w:t>»</w:t>
      </w:r>
      <w:r w:rsidR="00050AA8" w:rsidRPr="00BD7F4B">
        <w:rPr>
          <w:rFonts w:ascii="Times New Roman" w:hAnsi="Times New Roman"/>
          <w:b/>
          <w:bCs/>
        </w:rPr>
        <w:t xml:space="preserve"> </w:t>
      </w:r>
      <w:r w:rsidR="00050AA8" w:rsidRPr="00BD7F4B">
        <w:rPr>
          <w:rFonts w:ascii="Times New Roman" w:hAnsi="Times New Roman"/>
        </w:rPr>
        <w:t xml:space="preserve">de la maille de l’apatite, est un paramètre essentiel du produit </w:t>
      </w:r>
      <w:r w:rsidR="00050AA8" w:rsidRPr="00BD7F4B">
        <w:rPr>
          <w:rFonts w:ascii="Times New Roman" w:hAnsi="Times New Roman"/>
        </w:rPr>
        <w:lastRenderedPageBreak/>
        <w:t xml:space="preserve">calciné, car il rend compte des modifications de réactivité affectant la phase phosphatée </w:t>
      </w:r>
      <w:r w:rsidR="00050AA8" w:rsidRPr="00BD7F4B">
        <w:rPr>
          <w:rFonts w:ascii="Times New Roman" w:hAnsi="Times New Roman"/>
          <w:b/>
          <w:bCs/>
        </w:rPr>
        <w:t>[</w:t>
      </w:r>
      <w:r w:rsidR="00F578C9" w:rsidRPr="00BD7F4B">
        <w:rPr>
          <w:rFonts w:ascii="Times New Roman" w:hAnsi="Times New Roman"/>
          <w:b/>
          <w:bCs/>
        </w:rPr>
        <w:t>16 - 19</w:t>
      </w:r>
      <w:r w:rsidR="00050AA8" w:rsidRPr="00BD7F4B">
        <w:rPr>
          <w:rFonts w:ascii="Times New Roman" w:hAnsi="Times New Roman"/>
          <w:b/>
          <w:bCs/>
        </w:rPr>
        <w:t>]</w:t>
      </w:r>
      <w:r w:rsidR="00050AA8" w:rsidRPr="00BD7F4B">
        <w:rPr>
          <w:rFonts w:ascii="Times New Roman" w:hAnsi="Times New Roman"/>
        </w:rPr>
        <w:t xml:space="preserve">, (iii) la matière organique constitue aussi un élément gênant qui, en réduisant les sulfates en sulfures, entraîne une intense corrosion des réacteurs lors de la fabrication de l’acide phosphorique </w:t>
      </w:r>
      <w:r w:rsidR="00050AA8" w:rsidRPr="00BD7F4B">
        <w:rPr>
          <w:rFonts w:ascii="Times New Roman" w:hAnsi="Times New Roman"/>
          <w:b/>
          <w:bCs/>
        </w:rPr>
        <w:t>[</w:t>
      </w:r>
      <w:r w:rsidR="00F578C9" w:rsidRPr="00BD7F4B">
        <w:rPr>
          <w:rFonts w:ascii="Times New Roman" w:hAnsi="Times New Roman"/>
          <w:b/>
          <w:bCs/>
        </w:rPr>
        <w:t>20</w:t>
      </w:r>
      <w:r w:rsidR="00050AA8" w:rsidRPr="00BD7F4B">
        <w:rPr>
          <w:rFonts w:ascii="Times New Roman" w:hAnsi="Times New Roman"/>
          <w:b/>
          <w:bCs/>
        </w:rPr>
        <w:t>]</w:t>
      </w:r>
      <w:r w:rsidR="00050AA8" w:rsidRPr="00BD7F4B">
        <w:rPr>
          <w:rFonts w:ascii="Times New Roman" w:hAnsi="Times New Roman"/>
        </w:rPr>
        <w:t xml:space="preserve">, (iv) des phénomènes de collage dans les fours apparaissent à partir de </w:t>
      </w:r>
      <w:smartTag w:uri="urn:schemas-microsoft-com:office:smarttags" w:element="metricconverter">
        <w:smartTagPr>
          <w:attr w:name="ProductID" w:val="900ﾰC"/>
        </w:smartTagPr>
        <w:r w:rsidR="00050AA8" w:rsidRPr="00BD7F4B">
          <w:rPr>
            <w:rFonts w:ascii="Times New Roman" w:hAnsi="Times New Roman"/>
          </w:rPr>
          <w:t>900°C</w:t>
        </w:r>
      </w:smartTag>
      <w:r w:rsidR="00050AA8" w:rsidRPr="00BD7F4B">
        <w:rPr>
          <w:rFonts w:ascii="Times New Roman" w:hAnsi="Times New Roman"/>
        </w:rPr>
        <w:t xml:space="preserve">, avec combinaison des matières argileuses et de CaO </w:t>
      </w:r>
      <w:r w:rsidR="00F578C9" w:rsidRPr="00BD7F4B">
        <w:rPr>
          <w:rFonts w:ascii="Times New Roman" w:hAnsi="Times New Roman"/>
          <w:b/>
          <w:bCs/>
        </w:rPr>
        <w:t>[21</w:t>
      </w:r>
      <w:r w:rsidR="00050AA8" w:rsidRPr="00BD7F4B">
        <w:rPr>
          <w:rFonts w:ascii="Times New Roman" w:hAnsi="Times New Roman"/>
          <w:b/>
          <w:bCs/>
        </w:rPr>
        <w:t>]</w:t>
      </w:r>
      <w:r w:rsidR="00050AA8" w:rsidRPr="00BD7F4B">
        <w:rPr>
          <w:rFonts w:ascii="Times New Roman" w:hAnsi="Times New Roman"/>
        </w:rPr>
        <w:t xml:space="preserve">. Des travaux </w:t>
      </w:r>
      <w:r w:rsidR="00FA3A8D" w:rsidRPr="00BD7F4B">
        <w:rPr>
          <w:rFonts w:ascii="Times New Roman" w:hAnsi="Times New Roman"/>
        </w:rPr>
        <w:t xml:space="preserve">précédents </w:t>
      </w:r>
      <w:r w:rsidR="00050AA8" w:rsidRPr="00BD7F4B">
        <w:rPr>
          <w:rFonts w:ascii="Times New Roman" w:hAnsi="Times New Roman"/>
        </w:rPr>
        <w:t>montrent que la richesse du phosphate en F et SO</w:t>
      </w:r>
      <w:r w:rsidR="00050AA8" w:rsidRPr="00BD7F4B">
        <w:rPr>
          <w:rFonts w:ascii="Times New Roman" w:hAnsi="Times New Roman"/>
          <w:vertAlign w:val="subscript"/>
        </w:rPr>
        <w:t>3</w:t>
      </w:r>
      <w:r w:rsidR="00050AA8" w:rsidRPr="00BD7F4B">
        <w:rPr>
          <w:rFonts w:ascii="Times New Roman" w:hAnsi="Times New Roman"/>
        </w:rPr>
        <w:t xml:space="preserve"> de l’apatite provoque un abaissement de la température et augmente la cinétique de cristallisation. </w:t>
      </w:r>
      <w:r w:rsidR="002D3A6E" w:rsidRPr="00BD7F4B">
        <w:rPr>
          <w:rFonts w:ascii="Times New Roman" w:hAnsi="Times New Roman"/>
        </w:rPr>
        <w:t>À</w:t>
      </w:r>
      <w:r w:rsidR="00050AA8" w:rsidRPr="00BD7F4B">
        <w:rPr>
          <w:rFonts w:ascii="Times New Roman" w:hAnsi="Times New Roman"/>
        </w:rPr>
        <w:t xml:space="preserve"> ce phénomène, s’ajoute l’effet de réactions exothermiques provoquées par la formation de CaO lors de la restructuration de l’apatite et par la formation de fluorite par action du fluor sur CaO </w:t>
      </w:r>
      <w:r w:rsidR="00F578C9" w:rsidRPr="00BD7F4B">
        <w:rPr>
          <w:rFonts w:ascii="Times New Roman" w:hAnsi="Times New Roman"/>
          <w:b/>
          <w:bCs/>
        </w:rPr>
        <w:t>[22</w:t>
      </w:r>
      <w:r w:rsidR="00050AA8" w:rsidRPr="00BD7F4B">
        <w:rPr>
          <w:rFonts w:ascii="Times New Roman" w:hAnsi="Times New Roman"/>
          <w:b/>
          <w:bCs/>
        </w:rPr>
        <w:t>]</w:t>
      </w:r>
      <w:r w:rsidR="00050AA8" w:rsidRPr="00BD7F4B">
        <w:rPr>
          <w:rFonts w:ascii="Times New Roman" w:hAnsi="Times New Roman"/>
        </w:rPr>
        <w:t>. L’addition de l’ensemble des phénomènes est un début de frittage</w:t>
      </w:r>
      <w:r w:rsidR="007116F6" w:rsidRPr="00BD7F4B">
        <w:rPr>
          <w:rFonts w:ascii="Times New Roman" w:hAnsi="Times New Roman"/>
        </w:rPr>
        <w:t>, suivi de fusions partielles de</w:t>
      </w:r>
      <w:r w:rsidR="00050AA8" w:rsidRPr="00BD7F4B">
        <w:rPr>
          <w:rFonts w:ascii="Times New Roman" w:hAnsi="Times New Roman"/>
        </w:rPr>
        <w:t xml:space="preserve"> </w:t>
      </w:r>
      <w:smartTag w:uri="urn:schemas-microsoft-com:office:smarttags" w:element="metricconverter">
        <w:smartTagPr>
          <w:attr w:name="ProductID" w:val="900ﾰC"/>
        </w:smartTagPr>
        <w:r w:rsidR="00050AA8" w:rsidRPr="00BD7F4B">
          <w:rPr>
            <w:rFonts w:ascii="Times New Roman" w:hAnsi="Times New Roman"/>
          </w:rPr>
          <w:t>900°C</w:t>
        </w:r>
      </w:smartTag>
      <w:r w:rsidR="00050AA8" w:rsidRPr="00BD7F4B">
        <w:rPr>
          <w:rFonts w:ascii="Times New Roman" w:hAnsi="Times New Roman"/>
        </w:rPr>
        <w:t>, entraînant un collage aux points chauds et aux points de ralentissement du flux de matière</w:t>
      </w:r>
      <w:r w:rsidR="002D3A6E" w:rsidRPr="00BD7F4B">
        <w:rPr>
          <w:rFonts w:ascii="Times New Roman" w:hAnsi="Times New Roman"/>
        </w:rPr>
        <w:t>s</w:t>
      </w:r>
      <w:r w:rsidR="00050AA8" w:rsidRPr="00BD7F4B">
        <w:rPr>
          <w:rFonts w:ascii="Times New Roman" w:hAnsi="Times New Roman"/>
        </w:rPr>
        <w:t>. Le CaO ainsi mobilisé dans le</w:t>
      </w:r>
      <w:r w:rsidR="002D3A6E" w:rsidRPr="00BD7F4B">
        <w:rPr>
          <w:rFonts w:ascii="Times New Roman" w:hAnsi="Times New Roman"/>
        </w:rPr>
        <w:t>s produits de collage où</w:t>
      </w:r>
      <w:r w:rsidR="00050AA8" w:rsidRPr="00BD7F4B">
        <w:rPr>
          <w:rFonts w:ascii="Times New Roman" w:hAnsi="Times New Roman"/>
        </w:rPr>
        <w:t xml:space="preserve"> inclus dans des agrégats ne peut plus être éliminé par lavage.</w:t>
      </w:r>
      <w:r w:rsidR="003506EB" w:rsidRPr="00BD7F4B">
        <w:rPr>
          <w:rFonts w:ascii="Times New Roman" w:hAnsi="Times New Roman"/>
        </w:rPr>
        <w:t xml:space="preserve"> En outre</w:t>
      </w:r>
      <w:r w:rsidR="002B6943" w:rsidRPr="00BD7F4B">
        <w:rPr>
          <w:rFonts w:ascii="Times New Roman" w:hAnsi="Times New Roman"/>
        </w:rPr>
        <w:t>, même la teneur en P</w:t>
      </w:r>
      <w:r w:rsidR="002B6943" w:rsidRPr="00BD7F4B">
        <w:rPr>
          <w:rFonts w:ascii="Times New Roman" w:hAnsi="Times New Roman"/>
          <w:vertAlign w:val="subscript"/>
        </w:rPr>
        <w:t>2</w:t>
      </w:r>
      <w:r w:rsidR="002B6943" w:rsidRPr="00BD7F4B">
        <w:rPr>
          <w:rFonts w:ascii="Times New Roman" w:hAnsi="Times New Roman"/>
        </w:rPr>
        <w:t>O</w:t>
      </w:r>
      <w:r w:rsidR="002B6943" w:rsidRPr="00BD7F4B">
        <w:rPr>
          <w:rFonts w:ascii="Times New Roman" w:hAnsi="Times New Roman"/>
          <w:vertAlign w:val="subscript"/>
        </w:rPr>
        <w:t>5</w:t>
      </w:r>
      <w:r w:rsidR="002B6943" w:rsidRPr="00BD7F4B">
        <w:rPr>
          <w:rFonts w:ascii="Times New Roman" w:hAnsi="Times New Roman"/>
        </w:rPr>
        <w:t xml:space="preserve"> s’adapte aux procédés de fabrication des dérivées des phosphates, l’existence d’une quantité des impuretés gêne les processus de valorisation et provoque des problèmes néfastes sur la qualité et l’environnement </w:t>
      </w:r>
      <w:r w:rsidR="002B6943" w:rsidRPr="00BD7F4B">
        <w:rPr>
          <w:rFonts w:ascii="Times New Roman" w:hAnsi="Times New Roman"/>
          <w:b/>
          <w:bCs/>
          <w:lang w:bidi="ar-MA"/>
        </w:rPr>
        <w:t>[13; 14]</w:t>
      </w:r>
      <w:r w:rsidR="002B6943" w:rsidRPr="00BD7F4B">
        <w:rPr>
          <w:rFonts w:ascii="Times New Roman" w:hAnsi="Times New Roman"/>
        </w:rPr>
        <w:t>.</w:t>
      </w:r>
    </w:p>
    <w:p w:rsidR="00A622D6" w:rsidRPr="00BD7F4B" w:rsidRDefault="00E63CDB" w:rsidP="00E63CDB">
      <w:pPr>
        <w:pStyle w:val="normal0"/>
        <w:ind w:firstLine="567"/>
        <w:rPr>
          <w:rFonts w:ascii="Times New Roman" w:hAnsi="Times New Roman"/>
        </w:rPr>
      </w:pPr>
      <w:r w:rsidRPr="00BD7F4B">
        <w:rPr>
          <w:rFonts w:ascii="Times New Roman" w:hAnsi="Times New Roman"/>
        </w:rPr>
        <w:t>Par ailleurs</w:t>
      </w:r>
      <w:r w:rsidR="00A622D6" w:rsidRPr="00BD7F4B">
        <w:rPr>
          <w:rFonts w:ascii="Times New Roman" w:hAnsi="Times New Roman"/>
        </w:rPr>
        <w:t xml:space="preserve">, la calcination n'est pas souhaitable dans tous les minerais de phosphate sédimentaire en raison du coût très élevé de l’énergie </w:t>
      </w:r>
      <w:r w:rsidR="00A622D6" w:rsidRPr="00BD7F4B">
        <w:rPr>
          <w:rFonts w:ascii="Times New Roman" w:hAnsi="Times New Roman"/>
          <w:b/>
          <w:bCs/>
        </w:rPr>
        <w:t>[5; 8; 9]</w:t>
      </w:r>
      <w:r w:rsidR="00A622D6" w:rsidRPr="00BD7F4B">
        <w:rPr>
          <w:rFonts w:ascii="Times New Roman" w:hAnsi="Times New Roman"/>
        </w:rPr>
        <w:t>; elle nécessite un apport énergétique important avec, en plus, l’émission des gaz à effet de serre dont l’impact sur l’environnement n’est plus à démontrer. Il a été également observé que la calcination diminue la performance des propriétés physiques du phosphate et par conséquent, la solubilité et la réactivité du minerai</w:t>
      </w:r>
      <w:r w:rsidR="00A622D6" w:rsidRPr="00BD7F4B">
        <w:rPr>
          <w:rStyle w:val="google-src-text1"/>
          <w:rFonts w:ascii="Times New Roman" w:hAnsi="Times New Roman"/>
          <w:vanish w:val="0"/>
        </w:rPr>
        <w:t xml:space="preserve"> </w:t>
      </w:r>
      <w:r w:rsidR="00A622D6" w:rsidRPr="00BD7F4B">
        <w:rPr>
          <w:rFonts w:ascii="Times New Roman" w:hAnsi="Times New Roman"/>
          <w:b/>
          <w:bCs/>
        </w:rPr>
        <w:t>[9]</w:t>
      </w:r>
      <w:r w:rsidR="00A622D6" w:rsidRPr="00BD7F4B">
        <w:rPr>
          <w:rFonts w:ascii="Times New Roman" w:hAnsi="Times New Roman"/>
        </w:rPr>
        <w:t>. Ainsi, la calcination se fait généralement à une température élevée suivie d’un refroidissement jusqu’à la température ambiante, ceci correspond à une perte d’énergie assez considérable.</w:t>
      </w:r>
    </w:p>
    <w:p w:rsidR="00CA1953" w:rsidRPr="00BD7F4B" w:rsidRDefault="00050AA8" w:rsidP="006C2F0E">
      <w:pPr>
        <w:pStyle w:val="normal0"/>
        <w:ind w:firstLine="567"/>
        <w:rPr>
          <w:rFonts w:ascii="Times New Roman" w:hAnsi="Times New Roman"/>
        </w:rPr>
      </w:pPr>
      <w:r w:rsidRPr="00BD7F4B">
        <w:rPr>
          <w:rFonts w:ascii="Times New Roman" w:hAnsi="Times New Roman"/>
        </w:rPr>
        <w:t>Pour ces raisons, nous faisons l’hypothèse de mélange du phosphate calciné par un autre brut de même source peut être en mesure d’éviter la formation d’agrégats, le phénomène de collage, d’augment</w:t>
      </w:r>
      <w:r w:rsidR="006C2F0E" w:rsidRPr="00BD7F4B">
        <w:rPr>
          <w:rFonts w:ascii="Times New Roman" w:hAnsi="Times New Roman"/>
        </w:rPr>
        <w:t>er la qualité et d’économiser</w:t>
      </w:r>
      <w:r w:rsidRPr="00BD7F4B">
        <w:rPr>
          <w:rFonts w:ascii="Times New Roman" w:hAnsi="Times New Roman"/>
        </w:rPr>
        <w:t xml:space="preserve"> l’énergie, tout en préservant l’environnement par minimisation des émissions du CO</w:t>
      </w:r>
      <w:r w:rsidRPr="00BD7F4B">
        <w:rPr>
          <w:rFonts w:ascii="Times New Roman" w:hAnsi="Times New Roman"/>
          <w:vertAlign w:val="subscript"/>
        </w:rPr>
        <w:t>2</w:t>
      </w:r>
      <w:r w:rsidRPr="00BD7F4B">
        <w:rPr>
          <w:rFonts w:ascii="Times New Roman" w:hAnsi="Times New Roman"/>
        </w:rPr>
        <w:t xml:space="preserve">. Cette hypothèse de mélange peut être amélioré avec des granulométries inférieures </w:t>
      </w:r>
      <w:r w:rsidRPr="00BD7F4B">
        <w:rPr>
          <w:rFonts w:ascii="Times New Roman" w:hAnsi="Times New Roman"/>
          <w:b/>
          <w:bCs/>
        </w:rPr>
        <w:t>[</w:t>
      </w:r>
      <w:r w:rsidR="00F578C9" w:rsidRPr="00BD7F4B">
        <w:rPr>
          <w:rFonts w:ascii="Times New Roman" w:hAnsi="Times New Roman"/>
          <w:b/>
          <w:bCs/>
        </w:rPr>
        <w:t>23 - 26</w:t>
      </w:r>
      <w:r w:rsidRPr="00BD7F4B">
        <w:rPr>
          <w:rFonts w:ascii="Times New Roman" w:hAnsi="Times New Roman"/>
          <w:b/>
          <w:bCs/>
        </w:rPr>
        <w:t>]</w:t>
      </w:r>
      <w:r w:rsidRPr="00BD7F4B">
        <w:rPr>
          <w:rFonts w:ascii="Times New Roman" w:hAnsi="Times New Roman"/>
        </w:rPr>
        <w:t>.</w:t>
      </w:r>
      <w:r w:rsidR="00764F5A" w:rsidRPr="00BD7F4B">
        <w:rPr>
          <w:rFonts w:ascii="Times New Roman" w:hAnsi="Times New Roman"/>
        </w:rPr>
        <w:t xml:space="preserve"> </w:t>
      </w:r>
      <w:r w:rsidR="00CA1953" w:rsidRPr="00BD7F4B">
        <w:rPr>
          <w:rFonts w:ascii="Times New Roman" w:hAnsi="Times New Roman"/>
        </w:rPr>
        <w:t>Ainsi, il nous es</w:t>
      </w:r>
      <w:r w:rsidR="00AB7457" w:rsidRPr="00BD7F4B">
        <w:rPr>
          <w:rFonts w:ascii="Times New Roman" w:hAnsi="Times New Roman"/>
        </w:rPr>
        <w:t xml:space="preserve">t apparu intéressant à </w:t>
      </w:r>
      <w:r w:rsidR="00764F5A" w:rsidRPr="00BD7F4B">
        <w:rPr>
          <w:rFonts w:ascii="Times New Roman" w:hAnsi="Times New Roman"/>
        </w:rPr>
        <w:t>étudier ce</w:t>
      </w:r>
      <w:r w:rsidR="00CA1953" w:rsidRPr="00BD7F4B">
        <w:rPr>
          <w:rFonts w:ascii="Times New Roman" w:hAnsi="Times New Roman"/>
        </w:rPr>
        <w:t xml:space="preserve"> protocole de mélange de</w:t>
      </w:r>
      <w:r w:rsidR="00764F5A" w:rsidRPr="00BD7F4B">
        <w:rPr>
          <w:rFonts w:ascii="Times New Roman" w:hAnsi="Times New Roman"/>
        </w:rPr>
        <w:t>s</w:t>
      </w:r>
      <w:r w:rsidR="00CA1953" w:rsidRPr="00BD7F4B">
        <w:rPr>
          <w:rFonts w:ascii="Times New Roman" w:hAnsi="Times New Roman"/>
        </w:rPr>
        <w:t xml:space="preserve"> phosphates à froid et à chaud.</w:t>
      </w:r>
      <w:r w:rsidR="00971F3C" w:rsidRPr="00BD7F4B">
        <w:rPr>
          <w:rFonts w:ascii="Times New Roman" w:hAnsi="Times New Roman"/>
        </w:rPr>
        <w:t xml:space="preserve"> Ce mélange des phosphates permet de réutiliser l’énergie associée à la calcination pour le traitement d’une autre quantité du phosphate brut tout en restant en conformité avec les normes d’utilisations.</w:t>
      </w:r>
    </w:p>
    <w:p w:rsidR="009A729F" w:rsidRPr="00BD7F4B" w:rsidRDefault="00664BEC" w:rsidP="00664BEC">
      <w:pPr>
        <w:spacing w:before="240" w:after="240"/>
        <w:jc w:val="center"/>
        <w:rPr>
          <w:b/>
          <w:bCs/>
          <w:sz w:val="28"/>
          <w:szCs w:val="28"/>
        </w:rPr>
      </w:pPr>
      <w:r w:rsidRPr="00BD7F4B">
        <w:rPr>
          <w:b/>
          <w:bCs/>
          <w:sz w:val="28"/>
          <w:szCs w:val="28"/>
        </w:rPr>
        <w:t>2</w:t>
      </w:r>
      <w:r w:rsidR="009A729F" w:rsidRPr="00BD7F4B">
        <w:rPr>
          <w:b/>
          <w:bCs/>
          <w:sz w:val="28"/>
          <w:szCs w:val="28"/>
        </w:rPr>
        <w:t xml:space="preserve">. </w:t>
      </w:r>
      <w:r w:rsidRPr="00BD7F4B">
        <w:rPr>
          <w:b/>
          <w:bCs/>
          <w:sz w:val="28"/>
          <w:szCs w:val="28"/>
        </w:rPr>
        <w:t>CARACTERISATIONS PHYSICOCHIMIQUES DU PHOSPHATE DE BOUCHANE</w:t>
      </w:r>
    </w:p>
    <w:p w:rsidR="003634AD" w:rsidRPr="00BD7F4B" w:rsidRDefault="003634AD" w:rsidP="00B93B1B">
      <w:pPr>
        <w:ind w:firstLine="567"/>
        <w:jc w:val="both"/>
      </w:pPr>
      <w:r w:rsidRPr="00BD7F4B">
        <w:t>Les gisements sédimentaires de phosphates naturels sont composés principalement d'apatite de formule générale: M</w:t>
      </w:r>
      <w:r w:rsidRPr="00BD7F4B">
        <w:rPr>
          <w:vertAlign w:val="subscript"/>
        </w:rPr>
        <w:t>10</w:t>
      </w:r>
      <w:r w:rsidRPr="00BD7F4B">
        <w:t>(ZO</w:t>
      </w:r>
      <w:r w:rsidRPr="00BD7F4B">
        <w:rPr>
          <w:vertAlign w:val="subscript"/>
        </w:rPr>
        <w:t>4</w:t>
      </w:r>
      <w:r w:rsidRPr="00BD7F4B">
        <w:t>)</w:t>
      </w:r>
      <w:r w:rsidRPr="00BD7F4B">
        <w:rPr>
          <w:vertAlign w:val="subscript"/>
        </w:rPr>
        <w:t>6</w:t>
      </w:r>
      <w:r w:rsidRPr="00BD7F4B">
        <w:t>X</w:t>
      </w:r>
      <w:r w:rsidRPr="00BD7F4B">
        <w:rPr>
          <w:vertAlign w:val="subscript"/>
        </w:rPr>
        <w:t>2</w:t>
      </w:r>
      <w:r w:rsidRPr="00BD7F4B">
        <w:t xml:space="preserve"> avec le plus souvent: M = Ca, Sr, …, Z = P, As, Si,…, X = F, OH, Cl…. Ils sont représentés surtout par les pôles fluorapatite-hydroxylée [Ca</w:t>
      </w:r>
      <w:r w:rsidRPr="00BD7F4B">
        <w:rPr>
          <w:vertAlign w:val="subscript"/>
        </w:rPr>
        <w:t>10</w:t>
      </w:r>
      <w:r w:rsidRPr="00BD7F4B">
        <w:t>(PO</w:t>
      </w:r>
      <w:r w:rsidRPr="00BD7F4B">
        <w:rPr>
          <w:vertAlign w:val="subscript"/>
        </w:rPr>
        <w:t>4</w:t>
      </w:r>
      <w:r w:rsidRPr="00BD7F4B">
        <w:t>)</w:t>
      </w:r>
      <w:r w:rsidRPr="00BD7F4B">
        <w:rPr>
          <w:vertAlign w:val="subscript"/>
        </w:rPr>
        <w:t>6</w:t>
      </w:r>
      <w:r w:rsidRPr="00BD7F4B">
        <w:t>(OH,F)</w:t>
      </w:r>
      <w:r w:rsidRPr="00BD7F4B">
        <w:rPr>
          <w:vertAlign w:val="subscript"/>
        </w:rPr>
        <w:t>2</w:t>
      </w:r>
      <w:r w:rsidRPr="00BD7F4B">
        <w:t>] et/ou fluorapatite carbonatée (appelée francolite) [Ca</w:t>
      </w:r>
      <w:r w:rsidRPr="00BD7F4B">
        <w:rPr>
          <w:vertAlign w:val="subscript"/>
        </w:rPr>
        <w:t>10</w:t>
      </w:r>
      <w:r w:rsidRPr="00BD7F4B">
        <w:t>(PO</w:t>
      </w:r>
      <w:r w:rsidRPr="00BD7F4B">
        <w:rPr>
          <w:vertAlign w:val="subscript"/>
        </w:rPr>
        <w:t>4</w:t>
      </w:r>
      <w:r w:rsidRPr="00BD7F4B">
        <w:t>)</w:t>
      </w:r>
      <w:r w:rsidRPr="00BD7F4B">
        <w:rPr>
          <w:vertAlign w:val="subscript"/>
        </w:rPr>
        <w:t>6-x</w:t>
      </w:r>
      <w:r w:rsidRPr="00BD7F4B">
        <w:t>(CO</w:t>
      </w:r>
      <w:r w:rsidRPr="00BD7F4B">
        <w:rPr>
          <w:vertAlign w:val="subscript"/>
        </w:rPr>
        <w:t>3</w:t>
      </w:r>
      <w:r w:rsidRPr="00BD7F4B">
        <w:t>, F)</w:t>
      </w:r>
      <w:r w:rsidRPr="00BD7F4B">
        <w:rPr>
          <w:vertAlign w:val="subscript"/>
        </w:rPr>
        <w:t>x</w:t>
      </w:r>
      <w:r w:rsidRPr="00BD7F4B">
        <w:t>(OH, F)</w:t>
      </w:r>
      <w:r w:rsidRPr="00BD7F4B">
        <w:rPr>
          <w:vertAlign w:val="subscript"/>
        </w:rPr>
        <w:t>2</w:t>
      </w:r>
      <w:r w:rsidRPr="00BD7F4B">
        <w:t xml:space="preserve">] où x est généralement voisin de "1" </w:t>
      </w:r>
      <w:r w:rsidR="003F45E9" w:rsidRPr="00BD7F4B">
        <w:rPr>
          <w:b/>
          <w:bCs/>
        </w:rPr>
        <w:t>[27]</w:t>
      </w:r>
      <w:r w:rsidR="00E450EA" w:rsidRPr="00BD7F4B">
        <w:t>. L</w:t>
      </w:r>
      <w:r w:rsidRPr="00BD7F4B">
        <w:t xml:space="preserve">es propriétés générales </w:t>
      </w:r>
      <w:r w:rsidR="00E450EA" w:rsidRPr="00BD7F4B">
        <w:t xml:space="preserve">du phosphate de Bouchane </w:t>
      </w:r>
      <w:r w:rsidRPr="00BD7F4B">
        <w:t>ont été décrites par divers auteurs</w:t>
      </w:r>
      <w:r w:rsidR="0050781E" w:rsidRPr="00BD7F4B">
        <w:t xml:space="preserve"> </w:t>
      </w:r>
      <w:r w:rsidR="00996457" w:rsidRPr="00BD7F4B">
        <w:rPr>
          <w:b/>
          <w:bCs/>
        </w:rPr>
        <w:t>[7</w:t>
      </w:r>
      <w:r w:rsidR="0050781E" w:rsidRPr="00BD7F4B">
        <w:rPr>
          <w:b/>
          <w:bCs/>
        </w:rPr>
        <w:t xml:space="preserve">; 12; </w:t>
      </w:r>
      <w:r w:rsidR="003F45E9" w:rsidRPr="00BD7F4B">
        <w:rPr>
          <w:b/>
          <w:bCs/>
        </w:rPr>
        <w:t xml:space="preserve">28 - </w:t>
      </w:r>
      <w:r w:rsidR="00F578C9" w:rsidRPr="00BD7F4B">
        <w:rPr>
          <w:b/>
          <w:bCs/>
        </w:rPr>
        <w:t>3</w:t>
      </w:r>
      <w:r w:rsidR="005416E9" w:rsidRPr="00BD7F4B">
        <w:rPr>
          <w:b/>
          <w:bCs/>
        </w:rPr>
        <w:t>0</w:t>
      </w:r>
      <w:r w:rsidR="0050781E" w:rsidRPr="00BD7F4B">
        <w:rPr>
          <w:b/>
          <w:bCs/>
        </w:rPr>
        <w:t>]</w:t>
      </w:r>
      <w:r w:rsidRPr="00BD7F4B">
        <w:t>.</w:t>
      </w:r>
    </w:p>
    <w:p w:rsidR="006E19A0" w:rsidRPr="00BD7F4B" w:rsidRDefault="006E19A0" w:rsidP="00F578C9">
      <w:pPr>
        <w:ind w:firstLine="567"/>
        <w:jc w:val="both"/>
      </w:pPr>
      <w:r w:rsidRPr="00BD7F4B">
        <w:t xml:space="preserve">Avant toute utilisation, le phosphate a été caractérisé suivant les normes AFNOR </w:t>
      </w:r>
      <w:r w:rsidR="005416E9" w:rsidRPr="00BD7F4B">
        <w:rPr>
          <w:b/>
          <w:bCs/>
        </w:rPr>
        <w:t>[31</w:t>
      </w:r>
      <w:r w:rsidR="00B93B1B" w:rsidRPr="00BD7F4B">
        <w:rPr>
          <w:b/>
          <w:bCs/>
        </w:rPr>
        <w:t>]</w:t>
      </w:r>
      <w:r w:rsidRPr="00BD7F4B">
        <w:t>. Ce choix a été motivé par les similitudes de composition et de caractéristiques physico-chimiques entre les sols et les sédiments.</w:t>
      </w:r>
    </w:p>
    <w:p w:rsidR="008943F8" w:rsidRPr="00BD7F4B" w:rsidRDefault="00664BEC" w:rsidP="0093713C">
      <w:pPr>
        <w:tabs>
          <w:tab w:val="left" w:pos="0"/>
        </w:tabs>
        <w:spacing w:before="120" w:after="120"/>
        <w:jc w:val="both"/>
        <w:rPr>
          <w:b/>
          <w:bCs/>
        </w:rPr>
      </w:pPr>
      <w:r w:rsidRPr="00BD7F4B">
        <w:rPr>
          <w:b/>
          <w:bCs/>
        </w:rPr>
        <w:t>2</w:t>
      </w:r>
      <w:r w:rsidR="008943F8" w:rsidRPr="00BD7F4B">
        <w:rPr>
          <w:b/>
          <w:bCs/>
        </w:rPr>
        <w:t xml:space="preserve">. </w:t>
      </w:r>
      <w:r w:rsidR="008943F8" w:rsidRPr="00BD7F4B">
        <w:rPr>
          <w:b/>
          <w:bCs/>
          <w:rtl/>
        </w:rPr>
        <w:t>1</w:t>
      </w:r>
      <w:r w:rsidR="008943F8" w:rsidRPr="00BD7F4B">
        <w:rPr>
          <w:b/>
          <w:bCs/>
        </w:rPr>
        <w:t>- Préparation des échantillons de phosphate brut</w:t>
      </w:r>
      <w:r w:rsidR="0093713C" w:rsidRPr="00BD7F4B">
        <w:rPr>
          <w:b/>
          <w:bCs/>
        </w:rPr>
        <w:t xml:space="preserve"> de la zone d’étude </w:t>
      </w:r>
      <w:r w:rsidR="008943F8" w:rsidRPr="00BD7F4B">
        <w:rPr>
          <w:b/>
          <w:bCs/>
        </w:rPr>
        <w:t>pour l’analyse</w:t>
      </w:r>
    </w:p>
    <w:p w:rsidR="00347947" w:rsidRPr="00BD7F4B" w:rsidRDefault="008943F8" w:rsidP="00347947">
      <w:pPr>
        <w:ind w:firstLine="567"/>
        <w:jc w:val="both"/>
      </w:pPr>
      <w:r w:rsidRPr="00BD7F4B">
        <w:t>Une série d'échantillons de phosphate de ce gisement a été prélevé. La masse globale de ce sédiment se concentre dans la tranche de 125</w:t>
      </w:r>
      <w:r w:rsidR="00A91D1A" w:rsidRPr="00BD7F4B">
        <w:t xml:space="preserve"> </w:t>
      </w:r>
      <w:r w:rsidRPr="00BD7F4B">
        <w:t>µm à 800</w:t>
      </w:r>
      <w:r w:rsidR="00A91D1A" w:rsidRPr="00BD7F4B">
        <w:t xml:space="preserve"> </w:t>
      </w:r>
      <w:r w:rsidRPr="00BD7F4B">
        <w:t>µm.</w:t>
      </w:r>
      <w:r w:rsidR="00347947" w:rsidRPr="00BD7F4B">
        <w:t xml:space="preserve"> Au laboratoire, l’échantillon du minerai phosphaté a subit un traitement mécanique (broyage, homogénéisation et quartage) pour réduire les gros grains grâce à un broyeur à marteau avec des opérations successives portant sur les refus de la maille de 500 </w:t>
      </w:r>
      <w:r w:rsidR="00347947" w:rsidRPr="00BD7F4B">
        <w:sym w:font="Symbol" w:char="F06D"/>
      </w:r>
      <w:r w:rsidR="00347947" w:rsidRPr="00BD7F4B">
        <w:t>m et un tamisage de la partie fine inférieur à 40</w:t>
      </w:r>
      <w:r w:rsidR="00347947" w:rsidRPr="00BD7F4B">
        <w:sym w:font="Symbol" w:char="F06D"/>
      </w:r>
      <w:r w:rsidR="00347947" w:rsidRPr="00BD7F4B">
        <w:t>m. Ainsi, on ne récupère que la granulométrie comprise entre 40</w:t>
      </w:r>
      <w:r w:rsidR="00347947" w:rsidRPr="00BD7F4B">
        <w:sym w:font="Symbol" w:char="F06D"/>
      </w:r>
      <w:r w:rsidR="00347947" w:rsidRPr="00BD7F4B">
        <w:t>m et 500</w:t>
      </w:r>
      <w:r w:rsidR="00347947" w:rsidRPr="00BD7F4B">
        <w:sym w:font="Symbol" w:char="F06D"/>
      </w:r>
      <w:r w:rsidR="00347947" w:rsidRPr="00BD7F4B">
        <w:t>m riche en phosphore</w:t>
      </w:r>
      <w:r w:rsidR="00347947" w:rsidRPr="00BD7F4B">
        <w:rPr>
          <w:b/>
          <w:bCs/>
          <w:spacing w:val="1"/>
        </w:rPr>
        <w:t xml:space="preserve"> </w:t>
      </w:r>
      <w:r w:rsidR="005416E9" w:rsidRPr="00BD7F4B">
        <w:rPr>
          <w:b/>
          <w:bCs/>
        </w:rPr>
        <w:t>[32]</w:t>
      </w:r>
      <w:r w:rsidR="00347947" w:rsidRPr="00BD7F4B">
        <w:t>.</w:t>
      </w:r>
    </w:p>
    <w:p w:rsidR="008943F8" w:rsidRPr="00BD7F4B" w:rsidRDefault="008943F8" w:rsidP="00674968">
      <w:pPr>
        <w:ind w:firstLine="567"/>
        <w:jc w:val="both"/>
      </w:pPr>
      <w:r w:rsidRPr="00BD7F4B">
        <w:t xml:space="preserve">Ces échantillons ont été soumis </w:t>
      </w:r>
      <w:r w:rsidR="00674968" w:rsidRPr="00BD7F4B">
        <w:t>à</w:t>
      </w:r>
      <w:r w:rsidRPr="00BD7F4B">
        <w:t xml:space="preserve"> des caractérisations physico-chimi</w:t>
      </w:r>
      <w:r w:rsidR="00A91D1A" w:rsidRPr="00BD7F4B">
        <w:t>ques par des méthodes d'analyse</w:t>
      </w:r>
      <w:r w:rsidRPr="00BD7F4B">
        <w:t xml:space="preserve"> qualitatives et quantitatives.</w:t>
      </w:r>
    </w:p>
    <w:p w:rsidR="008943F8" w:rsidRPr="00BD7F4B" w:rsidRDefault="00664BEC" w:rsidP="00A36AC9">
      <w:pPr>
        <w:autoSpaceDE w:val="0"/>
        <w:autoSpaceDN w:val="0"/>
        <w:adjustRightInd w:val="0"/>
        <w:spacing w:before="120" w:after="120"/>
        <w:jc w:val="both"/>
        <w:rPr>
          <w:b/>
          <w:bCs/>
        </w:rPr>
      </w:pPr>
      <w:r w:rsidRPr="00BD7F4B">
        <w:rPr>
          <w:b/>
          <w:bCs/>
        </w:rPr>
        <w:t>2</w:t>
      </w:r>
      <w:r w:rsidR="008943F8" w:rsidRPr="00BD7F4B">
        <w:rPr>
          <w:b/>
          <w:bCs/>
        </w:rPr>
        <w:t xml:space="preserve">. </w:t>
      </w:r>
      <w:r w:rsidR="008943F8" w:rsidRPr="00BD7F4B">
        <w:rPr>
          <w:b/>
          <w:bCs/>
          <w:rtl/>
        </w:rPr>
        <w:t>2</w:t>
      </w:r>
      <w:r w:rsidR="008943F8" w:rsidRPr="00BD7F4B">
        <w:rPr>
          <w:b/>
          <w:bCs/>
        </w:rPr>
        <w:t>- Analyses chimiques</w:t>
      </w:r>
    </w:p>
    <w:p w:rsidR="008943F8" w:rsidRPr="00BD7F4B" w:rsidRDefault="008943F8" w:rsidP="00FE3F59">
      <w:pPr>
        <w:ind w:firstLine="567"/>
        <w:jc w:val="both"/>
      </w:pPr>
      <w:r w:rsidRPr="00BD7F4B">
        <w:t>Le phosphate de la région de Bouchane (bassin du Ganntour) se compose principalement par le fluorapatite carbonaté résultant du dépôt des systèmes biologiques riches en phosphore. Il contient également plusieurs autres éléments mineurs tels que: Si, K, Al, Mi, S, Mg, Cd, Cr et le Fe qui ont substitué le calcium ou les groupes (PO</w:t>
      </w:r>
      <w:r w:rsidRPr="00BD7F4B">
        <w:rPr>
          <w:vertAlign w:val="subscript"/>
        </w:rPr>
        <w:t>4</w:t>
      </w:r>
      <w:r w:rsidRPr="00BD7F4B">
        <w:t>) dans la structure</w:t>
      </w:r>
      <w:r w:rsidRPr="00BD7F4B">
        <w:rPr>
          <w:b/>
          <w:bCs/>
          <w:spacing w:val="1"/>
        </w:rPr>
        <w:t xml:space="preserve"> </w:t>
      </w:r>
      <w:r w:rsidR="001E1A94" w:rsidRPr="00BD7F4B">
        <w:rPr>
          <w:b/>
          <w:bCs/>
        </w:rPr>
        <w:t>[7]</w:t>
      </w:r>
      <w:r w:rsidR="002C0AA6" w:rsidRPr="00BD7F4B">
        <w:rPr>
          <w:b/>
          <w:bCs/>
        </w:rPr>
        <w:t xml:space="preserve"> (Tableau. 1)</w:t>
      </w:r>
      <w:r w:rsidRPr="00BD7F4B">
        <w:t>.</w:t>
      </w:r>
    </w:p>
    <w:p w:rsidR="00121BD3" w:rsidRPr="00BD7F4B" w:rsidRDefault="00726045" w:rsidP="00664BEC">
      <w:pPr>
        <w:spacing w:before="120" w:after="120"/>
        <w:jc w:val="both"/>
        <w:rPr>
          <w:b/>
          <w:bCs/>
        </w:rPr>
      </w:pPr>
      <w:r w:rsidRPr="00BD7F4B">
        <w:rPr>
          <w:b/>
          <w:bCs/>
        </w:rPr>
        <w:t>2</w:t>
      </w:r>
      <w:r w:rsidR="00121BD3" w:rsidRPr="00BD7F4B">
        <w:rPr>
          <w:b/>
          <w:bCs/>
        </w:rPr>
        <w:t>. 3- Analyses physiques</w:t>
      </w:r>
    </w:p>
    <w:p w:rsidR="00121BD3" w:rsidRPr="00BD7F4B" w:rsidRDefault="00121BD3" w:rsidP="00BC1AF5">
      <w:pPr>
        <w:ind w:firstLine="567"/>
        <w:jc w:val="both"/>
      </w:pPr>
      <w:r w:rsidRPr="00BD7F4B">
        <w:t>Les caractéristiques physiques des phosphates naturels ont moins d'importance que leur composition chimique quant à la disponibilité du phosphore</w:t>
      </w:r>
      <w:r w:rsidR="00BC1AF5" w:rsidRPr="00BD7F4B">
        <w:t>, e</w:t>
      </w:r>
      <w:r w:rsidRPr="00BD7F4B">
        <w:t xml:space="preserve">lles ont tout de même un impact sur celle-ci. Les principales caractéristiques </w:t>
      </w:r>
      <w:r w:rsidR="002C529C" w:rsidRPr="00BD7F4B">
        <w:t xml:space="preserve">physiques </w:t>
      </w:r>
      <w:r w:rsidR="00902FDE" w:rsidRPr="00BD7F4B">
        <w:t>mesurées sont</w:t>
      </w:r>
      <w:r w:rsidR="002C529C" w:rsidRPr="00BD7F4B">
        <w:t xml:space="preserve">: la distribution granulométrique, l’humidité, la surface spécifique, la masse volumique, </w:t>
      </w:r>
      <w:r w:rsidR="00E27049" w:rsidRPr="00BD7F4B">
        <w:t>l’a</w:t>
      </w:r>
      <w:r w:rsidR="00E27049" w:rsidRPr="00BD7F4B">
        <w:rPr>
          <w:noProof/>
          <w:lang w:eastAsia="fr-FR"/>
        </w:rPr>
        <w:t>nalyse minéralogique par diffraction des rayons X et l’analyse thermiques</w:t>
      </w:r>
      <w:r w:rsidR="00A9794C" w:rsidRPr="00BD7F4B">
        <w:rPr>
          <w:noProof/>
          <w:lang w:eastAsia="fr-FR"/>
        </w:rPr>
        <w:t xml:space="preserve"> </w:t>
      </w:r>
      <w:r w:rsidR="002C0AA6" w:rsidRPr="00BD7F4B">
        <w:rPr>
          <w:b/>
          <w:bCs/>
        </w:rPr>
        <w:t>[4</w:t>
      </w:r>
      <w:r w:rsidR="001E1A94" w:rsidRPr="00BD7F4B">
        <w:rPr>
          <w:b/>
          <w:bCs/>
        </w:rPr>
        <w:t>; 7]</w:t>
      </w:r>
      <w:r w:rsidRPr="00BD7F4B">
        <w:t>.</w:t>
      </w:r>
    </w:p>
    <w:p w:rsidR="00D4783D" w:rsidRPr="00BD7F4B" w:rsidRDefault="00D4783D" w:rsidP="00664BEC">
      <w:pPr>
        <w:tabs>
          <w:tab w:val="left" w:pos="0"/>
        </w:tabs>
        <w:spacing w:before="240" w:after="120"/>
        <w:ind w:firstLine="567"/>
        <w:jc w:val="both"/>
      </w:pPr>
      <w:r w:rsidRPr="00BD7F4B">
        <w:t xml:space="preserve">Les </w:t>
      </w:r>
      <w:r w:rsidR="00745B0B" w:rsidRPr="00BD7F4B">
        <w:t>résultats</w:t>
      </w:r>
      <w:r w:rsidR="00A43DF8" w:rsidRPr="00BD7F4B">
        <w:t xml:space="preserve"> des analyses </w:t>
      </w:r>
      <w:r w:rsidR="00745B0B" w:rsidRPr="00BD7F4B">
        <w:t>physico-chimiques</w:t>
      </w:r>
      <w:r w:rsidR="00A43DF8" w:rsidRPr="00BD7F4B">
        <w:t xml:space="preserve"> indiqu</w:t>
      </w:r>
      <w:r w:rsidR="003A15D2" w:rsidRPr="00BD7F4B">
        <w:t xml:space="preserve">és </w:t>
      </w:r>
      <w:r w:rsidRPr="00BD7F4B">
        <w:t xml:space="preserve">ci-dessus sont </w:t>
      </w:r>
      <w:r w:rsidR="00745B0B" w:rsidRPr="00BD7F4B">
        <w:t>résumés</w:t>
      </w:r>
      <w:r w:rsidRPr="00BD7F4B">
        <w:t xml:space="preserve"> dans le </w:t>
      </w:r>
      <w:r w:rsidR="002C4FF3" w:rsidRPr="00BD7F4B">
        <w:rPr>
          <w:b/>
          <w:bCs/>
        </w:rPr>
        <w:t>tableau</w:t>
      </w:r>
      <w:r w:rsidRPr="00BD7F4B">
        <w:rPr>
          <w:b/>
          <w:bCs/>
        </w:rPr>
        <w:t xml:space="preserve">. </w:t>
      </w:r>
      <w:r w:rsidR="002C4FF3" w:rsidRPr="00BD7F4B">
        <w:rPr>
          <w:b/>
          <w:bCs/>
        </w:rPr>
        <w:t>1</w:t>
      </w:r>
      <w:r w:rsidRPr="00BD7F4B">
        <w:t>.</w:t>
      </w:r>
    </w:p>
    <w:tbl>
      <w:tblPr>
        <w:tblW w:w="827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141"/>
        <w:gridCol w:w="2828"/>
      </w:tblGrid>
      <w:tr w:rsidR="00D4783D" w:rsidRPr="00BD7F4B">
        <w:trPr>
          <w:jc w:val="center"/>
        </w:trPr>
        <w:tc>
          <w:tcPr>
            <w:tcW w:w="8272" w:type="dxa"/>
            <w:gridSpan w:val="3"/>
          </w:tcPr>
          <w:p w:rsidR="00D4783D" w:rsidRPr="00BD7F4B" w:rsidRDefault="00D4783D" w:rsidP="00A36AC9">
            <w:pPr>
              <w:jc w:val="center"/>
              <w:rPr>
                <w:b/>
                <w:bCs/>
                <w:sz w:val="28"/>
                <w:szCs w:val="28"/>
              </w:rPr>
            </w:pPr>
            <w:r w:rsidRPr="00BD7F4B">
              <w:rPr>
                <w:b/>
                <w:bCs/>
                <w:sz w:val="28"/>
                <w:szCs w:val="28"/>
              </w:rPr>
              <w:t>Analyses chimiques</w:t>
            </w:r>
          </w:p>
        </w:tc>
      </w:tr>
      <w:tr w:rsidR="00D4783D" w:rsidRPr="00BD7F4B">
        <w:trPr>
          <w:jc w:val="center"/>
        </w:trPr>
        <w:tc>
          <w:tcPr>
            <w:tcW w:w="3303" w:type="dxa"/>
          </w:tcPr>
          <w:p w:rsidR="00D4783D" w:rsidRPr="00BD7F4B" w:rsidRDefault="00D4783D" w:rsidP="00A36AC9">
            <w:pPr>
              <w:ind w:left="-288"/>
              <w:jc w:val="center"/>
            </w:pPr>
            <w:r w:rsidRPr="00BD7F4B">
              <w:t>Compositions chimiques</w:t>
            </w:r>
          </w:p>
          <w:p w:rsidR="00D4783D" w:rsidRPr="00BD7F4B" w:rsidRDefault="00D4783D" w:rsidP="00A36AC9">
            <w:pPr>
              <w:ind w:left="-288"/>
              <w:jc w:val="center"/>
            </w:pPr>
            <w:r w:rsidRPr="00BD7F4B">
              <w:t>(%)</w:t>
            </w:r>
          </w:p>
        </w:tc>
        <w:tc>
          <w:tcPr>
            <w:tcW w:w="4969" w:type="dxa"/>
            <w:gridSpan w:val="2"/>
          </w:tcPr>
          <w:p w:rsidR="00D4783D" w:rsidRPr="00BD7F4B" w:rsidRDefault="00D4783D" w:rsidP="00A36AC9">
            <w:pPr>
              <w:jc w:val="both"/>
              <w:rPr>
                <w:lang w:val="it-IT"/>
              </w:rPr>
            </w:pPr>
            <w:r w:rsidRPr="00BD7F4B">
              <w:rPr>
                <w:lang w:val="it-IT"/>
              </w:rPr>
              <w:t>P</w:t>
            </w:r>
            <w:r w:rsidRPr="00BD7F4B">
              <w:rPr>
                <w:vertAlign w:val="subscript"/>
                <w:lang w:val="it-IT"/>
              </w:rPr>
              <w:t>2</w:t>
            </w:r>
            <w:r w:rsidRPr="00BD7F4B">
              <w:rPr>
                <w:lang w:val="it-IT"/>
              </w:rPr>
              <w:t>O</w:t>
            </w:r>
            <w:r w:rsidRPr="00BD7F4B">
              <w:rPr>
                <w:vertAlign w:val="subscript"/>
                <w:lang w:val="it-IT"/>
              </w:rPr>
              <w:t>5</w:t>
            </w:r>
            <w:r w:rsidRPr="00BD7F4B">
              <w:rPr>
                <w:lang w:val="it-IT"/>
              </w:rPr>
              <w:t xml:space="preserve">   31,10                CO</w:t>
            </w:r>
            <w:r w:rsidRPr="00BD7F4B">
              <w:rPr>
                <w:vertAlign w:val="subscript"/>
                <w:lang w:val="it-IT"/>
              </w:rPr>
              <w:t>2</w:t>
            </w:r>
            <w:r w:rsidRPr="00BD7F4B">
              <w:rPr>
                <w:lang w:val="it-IT"/>
              </w:rPr>
              <w:t xml:space="preserve">   6,60</w:t>
            </w:r>
          </w:p>
          <w:p w:rsidR="00D4783D" w:rsidRPr="00BD7F4B" w:rsidRDefault="00D4783D" w:rsidP="00A36AC9">
            <w:pPr>
              <w:jc w:val="both"/>
              <w:rPr>
                <w:lang w:val="it-IT"/>
              </w:rPr>
            </w:pPr>
            <w:r w:rsidRPr="00BD7F4B">
              <w:rPr>
                <w:lang w:val="it-IT"/>
              </w:rPr>
              <w:t>CaO   49,20                SiO</w:t>
            </w:r>
            <w:r w:rsidRPr="00BD7F4B">
              <w:rPr>
                <w:vertAlign w:val="subscript"/>
                <w:lang w:val="it-IT"/>
              </w:rPr>
              <w:t>2</w:t>
            </w:r>
            <w:r w:rsidRPr="00BD7F4B">
              <w:rPr>
                <w:lang w:val="it-IT"/>
              </w:rPr>
              <w:t xml:space="preserve">   3,38</w:t>
            </w:r>
          </w:p>
          <w:p w:rsidR="00D4783D" w:rsidRPr="00BD7F4B" w:rsidRDefault="00D4783D" w:rsidP="00A36AC9">
            <w:pPr>
              <w:jc w:val="both"/>
              <w:rPr>
                <w:lang w:val="it-IT"/>
              </w:rPr>
            </w:pPr>
            <w:r w:rsidRPr="00BD7F4B">
              <w:rPr>
                <w:lang w:val="it-IT"/>
              </w:rPr>
              <w:t>H</w:t>
            </w:r>
            <w:r w:rsidRPr="00BD7F4B">
              <w:rPr>
                <w:vertAlign w:val="subscript"/>
                <w:lang w:val="it-IT"/>
              </w:rPr>
              <w:t>2</w:t>
            </w:r>
            <w:r w:rsidRPr="00BD7F4B">
              <w:rPr>
                <w:lang w:val="it-IT"/>
              </w:rPr>
              <w:t>O   5,40                  Al</w:t>
            </w:r>
            <w:r w:rsidRPr="00BD7F4B">
              <w:rPr>
                <w:vertAlign w:val="subscript"/>
                <w:lang w:val="it-IT"/>
              </w:rPr>
              <w:t>2</w:t>
            </w:r>
            <w:r w:rsidRPr="00BD7F4B">
              <w:rPr>
                <w:lang w:val="it-IT"/>
              </w:rPr>
              <w:t>O   0,42</w:t>
            </w:r>
          </w:p>
          <w:p w:rsidR="00D4783D" w:rsidRPr="00BD7F4B" w:rsidRDefault="00D4783D" w:rsidP="00A36AC9">
            <w:pPr>
              <w:jc w:val="both"/>
              <w:rPr>
                <w:lang w:val="it-IT"/>
              </w:rPr>
            </w:pPr>
            <w:r w:rsidRPr="00BD7F4B">
              <w:rPr>
                <w:lang w:val="it-IT"/>
              </w:rPr>
              <w:t>Si</w:t>
            </w:r>
            <w:r w:rsidRPr="00BD7F4B">
              <w:rPr>
                <w:vertAlign w:val="subscript"/>
                <w:lang w:val="it-IT"/>
              </w:rPr>
              <w:t>2</w:t>
            </w:r>
            <w:r w:rsidRPr="00BD7F4B">
              <w:rPr>
                <w:lang w:val="it-IT"/>
              </w:rPr>
              <w:t>O</w:t>
            </w:r>
            <w:r w:rsidRPr="00BD7F4B">
              <w:rPr>
                <w:vertAlign w:val="subscript"/>
                <w:lang w:val="it-IT"/>
              </w:rPr>
              <w:t>3</w:t>
            </w:r>
            <w:r w:rsidRPr="00BD7F4B">
              <w:rPr>
                <w:lang w:val="it-IT"/>
              </w:rPr>
              <w:t xml:space="preserve">   0,31                K</w:t>
            </w:r>
            <w:r w:rsidRPr="00BD7F4B">
              <w:rPr>
                <w:vertAlign w:val="subscript"/>
                <w:lang w:val="it-IT"/>
              </w:rPr>
              <w:t>2</w:t>
            </w:r>
            <w:r w:rsidRPr="00BD7F4B">
              <w:rPr>
                <w:lang w:val="it-IT"/>
              </w:rPr>
              <w:t>O   0,07</w:t>
            </w:r>
          </w:p>
          <w:p w:rsidR="00D4783D" w:rsidRPr="00BD7F4B" w:rsidRDefault="00D4783D" w:rsidP="00A36AC9">
            <w:pPr>
              <w:jc w:val="both"/>
              <w:rPr>
                <w:lang w:val="it-IT"/>
              </w:rPr>
            </w:pPr>
            <w:r w:rsidRPr="00BD7F4B">
              <w:rPr>
                <w:lang w:val="it-IT"/>
              </w:rPr>
              <w:t>MgO   0,85                 MiO</w:t>
            </w:r>
            <w:r w:rsidRPr="00BD7F4B">
              <w:rPr>
                <w:vertAlign w:val="subscript"/>
                <w:lang w:val="it-IT"/>
              </w:rPr>
              <w:t>2</w:t>
            </w:r>
            <w:r w:rsidRPr="00BD7F4B">
              <w:rPr>
                <w:lang w:val="it-IT"/>
              </w:rPr>
              <w:t xml:space="preserve">   0,80</w:t>
            </w:r>
          </w:p>
          <w:p w:rsidR="00D4783D" w:rsidRPr="00BD7F4B" w:rsidRDefault="00D4783D" w:rsidP="00A36AC9">
            <w:pPr>
              <w:jc w:val="both"/>
              <w:rPr>
                <w:lang w:val="en-GB"/>
              </w:rPr>
            </w:pPr>
            <w:r w:rsidRPr="00BD7F4B">
              <w:rPr>
                <w:lang w:val="en-GB"/>
              </w:rPr>
              <w:t>SO</w:t>
            </w:r>
            <w:r w:rsidRPr="00BD7F4B">
              <w:rPr>
                <w:vertAlign w:val="subscript"/>
                <w:lang w:val="en-GB"/>
              </w:rPr>
              <w:t>3</w:t>
            </w:r>
            <w:r w:rsidRPr="00BD7F4B">
              <w:rPr>
                <w:lang w:val="en-GB"/>
              </w:rPr>
              <w:t xml:space="preserve">   1,52                  Cd   16,21 ppm</w:t>
            </w:r>
          </w:p>
        </w:tc>
      </w:tr>
      <w:tr w:rsidR="00D4783D" w:rsidRPr="00BD7F4B">
        <w:trPr>
          <w:jc w:val="center"/>
        </w:trPr>
        <w:tc>
          <w:tcPr>
            <w:tcW w:w="8272" w:type="dxa"/>
            <w:gridSpan w:val="3"/>
          </w:tcPr>
          <w:p w:rsidR="00D4783D" w:rsidRPr="00BD7F4B" w:rsidRDefault="00D4783D" w:rsidP="00A36AC9">
            <w:pPr>
              <w:jc w:val="center"/>
              <w:rPr>
                <w:b/>
                <w:bCs/>
                <w:sz w:val="28"/>
                <w:szCs w:val="28"/>
              </w:rPr>
            </w:pPr>
            <w:r w:rsidRPr="00BD7F4B">
              <w:rPr>
                <w:b/>
                <w:bCs/>
                <w:sz w:val="28"/>
                <w:szCs w:val="28"/>
              </w:rPr>
              <w:t>Analyses physiques</w:t>
            </w:r>
          </w:p>
        </w:tc>
      </w:tr>
      <w:tr w:rsidR="00D4783D" w:rsidRPr="00BD7F4B">
        <w:trPr>
          <w:trHeight w:val="75"/>
          <w:jc w:val="center"/>
        </w:trPr>
        <w:tc>
          <w:tcPr>
            <w:tcW w:w="3303" w:type="dxa"/>
            <w:vMerge w:val="restart"/>
          </w:tcPr>
          <w:p w:rsidR="00D4783D" w:rsidRPr="00BD7F4B" w:rsidRDefault="00D4783D" w:rsidP="00A36AC9">
            <w:pPr>
              <w:jc w:val="center"/>
            </w:pPr>
            <w:r w:rsidRPr="00BD7F4B">
              <w:t>Humidité (%)</w:t>
            </w:r>
          </w:p>
        </w:tc>
        <w:tc>
          <w:tcPr>
            <w:tcW w:w="2141" w:type="dxa"/>
          </w:tcPr>
          <w:p w:rsidR="00D4783D" w:rsidRPr="00BD7F4B" w:rsidRDefault="00D4783D" w:rsidP="00A36AC9">
            <w:pPr>
              <w:jc w:val="center"/>
              <w:rPr>
                <w:b/>
                <w:bCs/>
              </w:rPr>
            </w:pPr>
            <w:r w:rsidRPr="00BD7F4B">
              <w:t xml:space="preserve">Humidité à </w:t>
            </w:r>
            <w:smartTag w:uri="urn:schemas-microsoft-com:office:smarttags" w:element="metricconverter">
              <w:smartTagPr>
                <w:attr w:name="ProductID" w:val="40ﾰC"/>
              </w:smartTagPr>
              <w:r w:rsidRPr="00BD7F4B">
                <w:t>40°C</w:t>
              </w:r>
            </w:smartTag>
          </w:p>
        </w:tc>
        <w:tc>
          <w:tcPr>
            <w:tcW w:w="2828" w:type="dxa"/>
          </w:tcPr>
          <w:p w:rsidR="00D4783D" w:rsidRPr="00BD7F4B" w:rsidRDefault="00D4783D" w:rsidP="00A36AC9">
            <w:pPr>
              <w:jc w:val="center"/>
              <w:rPr>
                <w:b/>
                <w:bCs/>
              </w:rPr>
            </w:pPr>
            <w:r w:rsidRPr="00BD7F4B">
              <w:t>9.0 ≤ 12.0 ≤ 15.0</w:t>
            </w:r>
          </w:p>
        </w:tc>
      </w:tr>
      <w:tr w:rsidR="00D4783D" w:rsidRPr="00BD7F4B">
        <w:trPr>
          <w:trHeight w:val="75"/>
          <w:jc w:val="center"/>
        </w:trPr>
        <w:tc>
          <w:tcPr>
            <w:tcW w:w="3303" w:type="dxa"/>
            <w:vMerge/>
          </w:tcPr>
          <w:p w:rsidR="00D4783D" w:rsidRPr="00BD7F4B" w:rsidRDefault="00D4783D" w:rsidP="00A36AC9">
            <w:pPr>
              <w:jc w:val="center"/>
            </w:pPr>
          </w:p>
        </w:tc>
        <w:tc>
          <w:tcPr>
            <w:tcW w:w="2141" w:type="dxa"/>
          </w:tcPr>
          <w:p w:rsidR="00D4783D" w:rsidRPr="00BD7F4B" w:rsidRDefault="00D4783D" w:rsidP="00A36AC9">
            <w:pPr>
              <w:jc w:val="center"/>
              <w:rPr>
                <w:b/>
                <w:bCs/>
              </w:rPr>
            </w:pPr>
            <w:r w:rsidRPr="00BD7F4B">
              <w:t>Humidité résiduelle</w:t>
            </w:r>
          </w:p>
        </w:tc>
        <w:tc>
          <w:tcPr>
            <w:tcW w:w="2828" w:type="dxa"/>
          </w:tcPr>
          <w:p w:rsidR="00D4783D" w:rsidRPr="00BD7F4B" w:rsidRDefault="00D4783D" w:rsidP="00A36AC9">
            <w:pPr>
              <w:jc w:val="center"/>
              <w:rPr>
                <w:b/>
                <w:bCs/>
              </w:rPr>
            </w:pPr>
            <w:r w:rsidRPr="00BD7F4B">
              <w:t>4.0 ≤ 4.5 ≤ 5.0</w:t>
            </w:r>
          </w:p>
        </w:tc>
      </w:tr>
      <w:tr w:rsidR="00D4783D" w:rsidRPr="00BD7F4B">
        <w:trPr>
          <w:trHeight w:val="75"/>
          <w:jc w:val="center"/>
        </w:trPr>
        <w:tc>
          <w:tcPr>
            <w:tcW w:w="3303" w:type="dxa"/>
            <w:vMerge/>
          </w:tcPr>
          <w:p w:rsidR="00D4783D" w:rsidRPr="00BD7F4B" w:rsidRDefault="00D4783D" w:rsidP="00A36AC9">
            <w:pPr>
              <w:jc w:val="center"/>
            </w:pPr>
          </w:p>
        </w:tc>
        <w:tc>
          <w:tcPr>
            <w:tcW w:w="2141" w:type="dxa"/>
          </w:tcPr>
          <w:p w:rsidR="00D4783D" w:rsidRPr="00BD7F4B" w:rsidRDefault="00D4783D" w:rsidP="00A36AC9">
            <w:pPr>
              <w:jc w:val="center"/>
              <w:rPr>
                <w:b/>
                <w:bCs/>
              </w:rPr>
            </w:pPr>
            <w:r w:rsidRPr="00BD7F4B">
              <w:t>Humidité totale</w:t>
            </w:r>
          </w:p>
        </w:tc>
        <w:tc>
          <w:tcPr>
            <w:tcW w:w="2828" w:type="dxa"/>
          </w:tcPr>
          <w:p w:rsidR="00D4783D" w:rsidRPr="00BD7F4B" w:rsidRDefault="00D4783D" w:rsidP="00A36AC9">
            <w:pPr>
              <w:jc w:val="center"/>
              <w:rPr>
                <w:b/>
                <w:bCs/>
              </w:rPr>
            </w:pPr>
            <w:r w:rsidRPr="00BD7F4B">
              <w:t>16 ≤ 16.5 ≤ 16.5</w:t>
            </w:r>
          </w:p>
        </w:tc>
      </w:tr>
      <w:tr w:rsidR="00D4783D" w:rsidRPr="00BD7F4B">
        <w:trPr>
          <w:trHeight w:val="1059"/>
          <w:jc w:val="center"/>
        </w:trPr>
        <w:tc>
          <w:tcPr>
            <w:tcW w:w="3303" w:type="dxa"/>
          </w:tcPr>
          <w:p w:rsidR="00D4783D" w:rsidRPr="00BD7F4B" w:rsidRDefault="00D4783D" w:rsidP="00A36AC9">
            <w:pPr>
              <w:jc w:val="center"/>
            </w:pPr>
            <w:r w:rsidRPr="00BD7F4B">
              <w:t>Distribution granulométrique: G (%)</w:t>
            </w:r>
          </w:p>
        </w:tc>
        <w:tc>
          <w:tcPr>
            <w:tcW w:w="4969" w:type="dxa"/>
            <w:gridSpan w:val="2"/>
          </w:tcPr>
          <w:p w:rsidR="00D4783D" w:rsidRPr="00BD7F4B" w:rsidRDefault="00D4783D" w:rsidP="00A36AC9">
            <w:pPr>
              <w:tabs>
                <w:tab w:val="left" w:pos="589"/>
              </w:tabs>
              <w:jc w:val="center"/>
            </w:pPr>
            <w:r w:rsidRPr="00BD7F4B">
              <w:t>315 μm &lt; G  &lt;500 μm:       15.94</w:t>
            </w:r>
          </w:p>
          <w:p w:rsidR="00D4783D" w:rsidRPr="00BD7F4B" w:rsidRDefault="00D4783D" w:rsidP="00A36AC9">
            <w:pPr>
              <w:tabs>
                <w:tab w:val="left" w:pos="589"/>
              </w:tabs>
              <w:jc w:val="center"/>
            </w:pPr>
            <w:r w:rsidRPr="00BD7F4B">
              <w:t xml:space="preserve">250 μm &lt; :                      </w:t>
            </w:r>
            <w:r w:rsidR="00E350FC" w:rsidRPr="00BD7F4B">
              <w:t xml:space="preserve">    </w:t>
            </w:r>
            <w:r w:rsidRPr="00BD7F4B">
              <w:t>10.66</w:t>
            </w:r>
          </w:p>
          <w:p w:rsidR="00D4783D" w:rsidRPr="00BD7F4B" w:rsidRDefault="00D4783D" w:rsidP="00A36AC9">
            <w:pPr>
              <w:tabs>
                <w:tab w:val="left" w:pos="589"/>
              </w:tabs>
              <w:jc w:val="center"/>
            </w:pPr>
            <w:r w:rsidRPr="00BD7F4B">
              <w:t xml:space="preserve">200 μm &lt; :                       </w:t>
            </w:r>
            <w:r w:rsidR="00E350FC" w:rsidRPr="00BD7F4B">
              <w:t xml:space="preserve">   </w:t>
            </w:r>
            <w:r w:rsidRPr="00BD7F4B">
              <w:t>10.83</w:t>
            </w:r>
          </w:p>
          <w:p w:rsidR="00D4783D" w:rsidRPr="00BD7F4B" w:rsidRDefault="00D4783D" w:rsidP="00A36AC9">
            <w:pPr>
              <w:tabs>
                <w:tab w:val="left" w:pos="589"/>
              </w:tabs>
              <w:jc w:val="center"/>
            </w:pPr>
            <w:r w:rsidRPr="00BD7F4B">
              <w:t xml:space="preserve">160 μm &lt; :                     </w:t>
            </w:r>
            <w:r w:rsidR="00E350FC" w:rsidRPr="00BD7F4B">
              <w:t xml:space="preserve"> </w:t>
            </w:r>
            <w:r w:rsidRPr="00BD7F4B">
              <w:t xml:space="preserve"> 7.88</w:t>
            </w:r>
          </w:p>
          <w:p w:rsidR="00D4783D" w:rsidRPr="00BD7F4B" w:rsidRDefault="00D4783D" w:rsidP="00A36AC9">
            <w:pPr>
              <w:tabs>
                <w:tab w:val="left" w:pos="589"/>
              </w:tabs>
              <w:jc w:val="center"/>
            </w:pPr>
            <w:r w:rsidRPr="00BD7F4B">
              <w:t xml:space="preserve">125 μm &lt; :                    </w:t>
            </w:r>
            <w:r w:rsidR="00E350FC" w:rsidRPr="00BD7F4B">
              <w:t xml:space="preserve"> </w:t>
            </w:r>
            <w:r w:rsidRPr="00BD7F4B">
              <w:t xml:space="preserve">  7.75</w:t>
            </w:r>
          </w:p>
          <w:p w:rsidR="00D4783D" w:rsidRPr="00BD7F4B" w:rsidRDefault="00D4783D" w:rsidP="00A36AC9">
            <w:pPr>
              <w:tabs>
                <w:tab w:val="left" w:pos="589"/>
              </w:tabs>
              <w:jc w:val="center"/>
            </w:pPr>
            <w:r w:rsidRPr="00BD7F4B">
              <w:t xml:space="preserve">80 μm </w:t>
            </w:r>
            <w:r w:rsidR="00E350FC" w:rsidRPr="00BD7F4B">
              <w:t xml:space="preserve">&lt; :                        </w:t>
            </w:r>
            <w:r w:rsidRPr="00BD7F4B">
              <w:t>27</w:t>
            </w:r>
          </w:p>
          <w:p w:rsidR="00D4783D" w:rsidRPr="00BD7F4B" w:rsidRDefault="00D4783D" w:rsidP="00A36AC9">
            <w:pPr>
              <w:tabs>
                <w:tab w:val="left" w:pos="589"/>
              </w:tabs>
              <w:jc w:val="center"/>
              <w:rPr>
                <w:b/>
                <w:bCs/>
              </w:rPr>
            </w:pPr>
            <w:r w:rsidRPr="00BD7F4B">
              <w:t>40 μm &lt; :                         1.9</w:t>
            </w:r>
          </w:p>
          <w:p w:rsidR="00D4783D" w:rsidRPr="00BD7F4B" w:rsidRDefault="00E350FC" w:rsidP="00A36AC9">
            <w:pPr>
              <w:tabs>
                <w:tab w:val="left" w:pos="589"/>
              </w:tabs>
              <w:jc w:val="center"/>
              <w:rPr>
                <w:b/>
                <w:bCs/>
              </w:rPr>
            </w:pPr>
            <w:r w:rsidRPr="00BD7F4B">
              <w:t xml:space="preserve">&lt;40 </w:t>
            </w:r>
            <w:r w:rsidR="00D4783D" w:rsidRPr="00BD7F4B">
              <w:t>μm:                             1.12</w:t>
            </w:r>
          </w:p>
        </w:tc>
      </w:tr>
      <w:tr w:rsidR="00D4783D" w:rsidRPr="00BD7F4B">
        <w:trPr>
          <w:jc w:val="center"/>
        </w:trPr>
        <w:tc>
          <w:tcPr>
            <w:tcW w:w="3303" w:type="dxa"/>
          </w:tcPr>
          <w:p w:rsidR="00D4783D" w:rsidRPr="00BD7F4B" w:rsidRDefault="00D4783D" w:rsidP="00A36AC9">
            <w:pPr>
              <w:jc w:val="center"/>
            </w:pPr>
            <w:r w:rsidRPr="00BD7F4B">
              <w:t>Masse volumique (g/cm</w:t>
            </w:r>
            <w:r w:rsidRPr="00BD7F4B">
              <w:rPr>
                <w:vertAlign w:val="superscript"/>
              </w:rPr>
              <w:t>3</w:t>
            </w:r>
            <w:r w:rsidRPr="00BD7F4B">
              <w:t>)</w:t>
            </w:r>
          </w:p>
        </w:tc>
        <w:tc>
          <w:tcPr>
            <w:tcW w:w="4969" w:type="dxa"/>
            <w:gridSpan w:val="2"/>
          </w:tcPr>
          <w:p w:rsidR="00D4783D" w:rsidRPr="00BD7F4B" w:rsidRDefault="00D4783D" w:rsidP="00A36AC9">
            <w:pPr>
              <w:jc w:val="center"/>
              <w:rPr>
                <w:bCs/>
              </w:rPr>
            </w:pPr>
            <w:r w:rsidRPr="00BD7F4B">
              <w:rPr>
                <w:bCs/>
              </w:rPr>
              <w:t>3,14</w:t>
            </w:r>
          </w:p>
        </w:tc>
      </w:tr>
      <w:tr w:rsidR="00D4783D" w:rsidRPr="00BD7F4B">
        <w:trPr>
          <w:jc w:val="center"/>
        </w:trPr>
        <w:tc>
          <w:tcPr>
            <w:tcW w:w="3303" w:type="dxa"/>
          </w:tcPr>
          <w:p w:rsidR="00D4783D" w:rsidRPr="00BD7F4B" w:rsidRDefault="00D4783D" w:rsidP="00A36AC9">
            <w:pPr>
              <w:jc w:val="center"/>
            </w:pPr>
            <w:r w:rsidRPr="00BD7F4B">
              <w:t>Surface spécifique (m</w:t>
            </w:r>
            <w:r w:rsidRPr="00BD7F4B">
              <w:rPr>
                <w:vertAlign w:val="superscript"/>
              </w:rPr>
              <w:t>2</w:t>
            </w:r>
            <w:r w:rsidRPr="00BD7F4B">
              <w:t>/g)</w:t>
            </w:r>
          </w:p>
        </w:tc>
        <w:tc>
          <w:tcPr>
            <w:tcW w:w="4969" w:type="dxa"/>
            <w:gridSpan w:val="2"/>
          </w:tcPr>
          <w:p w:rsidR="00D4783D" w:rsidRPr="00BD7F4B" w:rsidRDefault="00D4783D" w:rsidP="00A36AC9">
            <w:pPr>
              <w:jc w:val="center"/>
              <w:rPr>
                <w:bCs/>
              </w:rPr>
            </w:pPr>
            <w:r w:rsidRPr="00BD7F4B">
              <w:rPr>
                <w:bCs/>
              </w:rPr>
              <w:t>13,3</w:t>
            </w:r>
          </w:p>
        </w:tc>
      </w:tr>
    </w:tbl>
    <w:p w:rsidR="00D4783D" w:rsidRPr="00BD7F4B" w:rsidRDefault="002C4FF3" w:rsidP="00A36AC9">
      <w:pPr>
        <w:spacing w:before="120" w:after="240"/>
        <w:jc w:val="center"/>
      </w:pPr>
      <w:r w:rsidRPr="00BD7F4B">
        <w:rPr>
          <w:b/>
          <w:bCs/>
        </w:rPr>
        <w:t>Tableau. 1</w:t>
      </w:r>
      <w:r w:rsidR="00050F31" w:rsidRPr="00BD7F4B">
        <w:rPr>
          <w:b/>
          <w:bCs/>
        </w:rPr>
        <w:t> :</w:t>
      </w:r>
      <w:r w:rsidR="00D4783D" w:rsidRPr="00BD7F4B">
        <w:t xml:space="preserve"> </w:t>
      </w:r>
      <w:r w:rsidRPr="00BD7F4B">
        <w:t xml:space="preserve">Données </w:t>
      </w:r>
      <w:r w:rsidR="00D4783D" w:rsidRPr="00BD7F4B">
        <w:t>physico-chimiques du phosphate de Bouchane</w:t>
      </w:r>
    </w:p>
    <w:p w:rsidR="000C2D39" w:rsidRPr="00BD7F4B" w:rsidRDefault="00C435F2" w:rsidP="00651B7A">
      <w:pPr>
        <w:tabs>
          <w:tab w:val="left" w:pos="0"/>
        </w:tabs>
        <w:spacing w:before="240" w:after="240"/>
        <w:jc w:val="center"/>
        <w:rPr>
          <w:b/>
          <w:bCs/>
          <w:sz w:val="28"/>
          <w:szCs w:val="28"/>
        </w:rPr>
      </w:pPr>
      <w:r w:rsidRPr="00BD7F4B">
        <w:rPr>
          <w:b/>
          <w:bCs/>
          <w:sz w:val="28"/>
          <w:szCs w:val="28"/>
        </w:rPr>
        <w:t>3. COMPORTEMENT THERMIQUE DES PHOSPHATES PENDANT LA CALCINATION</w:t>
      </w:r>
    </w:p>
    <w:p w:rsidR="003E03A8" w:rsidRPr="00BD7F4B" w:rsidRDefault="003E03A8" w:rsidP="00B93B1B">
      <w:pPr>
        <w:ind w:firstLine="567"/>
        <w:jc w:val="lowKashida"/>
      </w:pPr>
      <w:r w:rsidRPr="00BD7F4B">
        <w:t xml:space="preserve">Le comportement thermique </w:t>
      </w:r>
      <w:r w:rsidR="00395A8B" w:rsidRPr="00BD7F4B">
        <w:t>des phosphates</w:t>
      </w:r>
      <w:r w:rsidRPr="00BD7F4B">
        <w:t xml:space="preserve"> </w:t>
      </w:r>
      <w:r w:rsidR="003537CB" w:rsidRPr="00BD7F4B">
        <w:t>a été étudié précédemment</w:t>
      </w:r>
      <w:r w:rsidR="00395A8B" w:rsidRPr="00BD7F4B">
        <w:t xml:space="preserve"> </w:t>
      </w:r>
      <w:r w:rsidR="005416E9" w:rsidRPr="00BD7F4B">
        <w:rPr>
          <w:b/>
          <w:bCs/>
        </w:rPr>
        <w:t>[33 - 40]</w:t>
      </w:r>
      <w:r w:rsidRPr="00BD7F4B">
        <w:t xml:space="preserve">. </w:t>
      </w:r>
      <w:r w:rsidR="00395A8B" w:rsidRPr="00BD7F4B">
        <w:t xml:space="preserve">Dans </w:t>
      </w:r>
      <w:r w:rsidR="00FB7B5A" w:rsidRPr="00BD7F4B">
        <w:t>le cas du</w:t>
      </w:r>
      <w:r w:rsidR="00395A8B" w:rsidRPr="00BD7F4B">
        <w:t xml:space="preserve"> phosphate de Bouchane, n</w:t>
      </w:r>
      <w:r w:rsidRPr="00BD7F4B">
        <w:t xml:space="preserve">ous </w:t>
      </w:r>
      <w:r w:rsidRPr="00BD7F4B">
        <w:rPr>
          <w:bCs/>
        </w:rPr>
        <w:t xml:space="preserve">avons illustré l’effet </w:t>
      </w:r>
      <w:r w:rsidRPr="00BD7F4B">
        <w:t xml:space="preserve">de la cinétique de grillage de la matière organique et des carbonates sur les propriétés du phosphate produit. </w:t>
      </w:r>
      <w:r w:rsidR="00395A8B" w:rsidRPr="00BD7F4B">
        <w:t>En outre</w:t>
      </w:r>
      <w:r w:rsidRPr="00BD7F4B">
        <w:t>,</w:t>
      </w:r>
      <w:r w:rsidRPr="00BD7F4B">
        <w:rPr>
          <w:bCs/>
        </w:rPr>
        <w:t xml:space="preserve"> nous avons constaté que </w:t>
      </w:r>
      <w:r w:rsidR="00621216" w:rsidRPr="00BD7F4B">
        <w:t xml:space="preserve">les mécanismes relatifs à la </w:t>
      </w:r>
      <w:r w:rsidRPr="00BD7F4B">
        <w:t>calcination sont multiples et couplés entre eux. Le produit obtenu répond bien aux profils marchands et aux exigences d’utilisation sous les conditions d’une température environ de 800°C et un temps de 30 minutes. Dans ces conditions on note une diminution de carbone organique à 91,67 % et de dioxyde de carbone à 73,50 % avec l’augmentation du poids de BPL de 10%</w:t>
      </w:r>
      <w:r w:rsidR="003537CB" w:rsidRPr="00BD7F4B">
        <w:t xml:space="preserve"> </w:t>
      </w:r>
      <w:r w:rsidR="001E0E34" w:rsidRPr="00BD7F4B">
        <w:rPr>
          <w:b/>
          <w:bCs/>
        </w:rPr>
        <w:t>[4</w:t>
      </w:r>
      <w:r w:rsidR="003537CB" w:rsidRPr="00BD7F4B">
        <w:rPr>
          <w:b/>
          <w:bCs/>
        </w:rPr>
        <w:t>; 7]</w:t>
      </w:r>
      <w:r w:rsidRPr="00BD7F4B">
        <w:t>.</w:t>
      </w:r>
    </w:p>
    <w:p w:rsidR="00DF55A1" w:rsidRPr="00BD7F4B" w:rsidRDefault="00DF55A1" w:rsidP="003E03A8">
      <w:pPr>
        <w:tabs>
          <w:tab w:val="left" w:pos="1440"/>
        </w:tabs>
        <w:autoSpaceDE w:val="0"/>
        <w:autoSpaceDN w:val="0"/>
        <w:adjustRightInd w:val="0"/>
        <w:spacing w:before="240" w:after="240"/>
        <w:jc w:val="center"/>
        <w:rPr>
          <w:b/>
          <w:bCs/>
          <w:sz w:val="28"/>
          <w:szCs w:val="28"/>
        </w:rPr>
      </w:pPr>
      <w:r w:rsidRPr="00BD7F4B">
        <w:rPr>
          <w:b/>
          <w:bCs/>
          <w:sz w:val="28"/>
          <w:szCs w:val="28"/>
        </w:rPr>
        <w:t xml:space="preserve">4. </w:t>
      </w:r>
      <w:r w:rsidR="003E03A8" w:rsidRPr="00BD7F4B">
        <w:rPr>
          <w:b/>
          <w:bCs/>
          <w:sz w:val="28"/>
          <w:szCs w:val="28"/>
        </w:rPr>
        <w:t>ETUDE DE TRAITEMENT THERMIQUE DU PHOSPHATE DE BOUCHANE PAR MELANGE A CHAUD</w:t>
      </w:r>
    </w:p>
    <w:p w:rsidR="00373C31" w:rsidRPr="00BD7F4B" w:rsidRDefault="00373C31" w:rsidP="00A36AC9">
      <w:pPr>
        <w:ind w:firstLine="564"/>
        <w:jc w:val="both"/>
      </w:pPr>
      <w:r w:rsidRPr="00BD7F4B">
        <w:t>Dans cette étude expérimentale, nous proposons d’étudier l’évolution des éléments (C</w:t>
      </w:r>
      <w:r w:rsidRPr="00BD7F4B">
        <w:rPr>
          <w:vertAlign w:val="subscript"/>
        </w:rPr>
        <w:t>org</w:t>
      </w:r>
      <w:r w:rsidRPr="00BD7F4B">
        <w:t>, CO</w:t>
      </w:r>
      <w:r w:rsidRPr="00BD7F4B">
        <w:rPr>
          <w:vertAlign w:val="subscript"/>
        </w:rPr>
        <w:t>2</w:t>
      </w:r>
      <w:r w:rsidRPr="00BD7F4B">
        <w:t>, P</w:t>
      </w:r>
      <w:r w:rsidRPr="00BD7F4B">
        <w:rPr>
          <w:vertAlign w:val="subscript"/>
        </w:rPr>
        <w:t>2</w:t>
      </w:r>
      <w:r w:rsidRPr="00BD7F4B">
        <w:t>O</w:t>
      </w:r>
      <w:r w:rsidRPr="00BD7F4B">
        <w:rPr>
          <w:vertAlign w:val="subscript"/>
        </w:rPr>
        <w:t xml:space="preserve">5 </w:t>
      </w:r>
      <w:r w:rsidRPr="00BD7F4B">
        <w:t>et CaO) en fonction du phosphate ajouté et certaines caractéristiques physico-chimiques du phosphate mélangé à froid et à chaud afin d’optimiser les conditions d’enrichissement des phosphates.</w:t>
      </w:r>
    </w:p>
    <w:p w:rsidR="00AD57D8" w:rsidRPr="00BD7F4B" w:rsidRDefault="00CE63AC" w:rsidP="00A36AC9">
      <w:pPr>
        <w:tabs>
          <w:tab w:val="center" w:pos="540"/>
        </w:tabs>
        <w:spacing w:before="240" w:after="240"/>
        <w:jc w:val="both"/>
        <w:rPr>
          <w:b/>
          <w:bCs/>
          <w:lang w:bidi="he-IL"/>
        </w:rPr>
      </w:pPr>
      <w:r w:rsidRPr="00BD7F4B">
        <w:rPr>
          <w:b/>
          <w:bCs/>
          <w:lang w:bidi="he-IL"/>
        </w:rPr>
        <w:t>4. 1.</w:t>
      </w:r>
      <w:r w:rsidR="00AD57D8" w:rsidRPr="00BD7F4B">
        <w:rPr>
          <w:b/>
          <w:bCs/>
          <w:lang w:bidi="he-IL"/>
        </w:rPr>
        <w:t xml:space="preserve"> Procédure</w:t>
      </w:r>
      <w:r w:rsidR="00AD57D8" w:rsidRPr="00BD7F4B">
        <w:rPr>
          <w:b/>
          <w:bCs/>
        </w:rPr>
        <w:t>s</w:t>
      </w:r>
      <w:r w:rsidR="00AD57D8" w:rsidRPr="00BD7F4B">
        <w:rPr>
          <w:b/>
          <w:bCs/>
          <w:lang w:bidi="he-IL"/>
        </w:rPr>
        <w:t xml:space="preserve"> expérimentale</w:t>
      </w:r>
      <w:r w:rsidR="00AD57D8" w:rsidRPr="00BD7F4B">
        <w:rPr>
          <w:b/>
          <w:bCs/>
        </w:rPr>
        <w:t>s</w:t>
      </w:r>
    </w:p>
    <w:p w:rsidR="00B470F8" w:rsidRPr="00BD7F4B" w:rsidRDefault="00B470F8" w:rsidP="00A36AC9">
      <w:pPr>
        <w:ind w:firstLine="567"/>
        <w:jc w:val="both"/>
      </w:pPr>
      <w:r w:rsidRPr="00BD7F4B">
        <w:t>Les essais ont été effectués, au laboratoire, sur des échantillons représentatifs du phosphate de Bouchane (bassin des Gantour) classifié de granulométrie comprise entre 40 et 500</w:t>
      </w:r>
      <w:r w:rsidRPr="00BD7F4B">
        <w:sym w:font="Symbol" w:char="F06D"/>
      </w:r>
      <w:r w:rsidRPr="00BD7F4B">
        <w:t>m. Ces échantillons ont été placés dans une enceinte cylindrique verticale en Inox (lit fixe), puis calcinés dans un four électrique à température réglable. Les procédures des mélanges du phosphate ont été effectué comme suit:</w:t>
      </w:r>
    </w:p>
    <w:p w:rsidR="00D0477C" w:rsidRPr="00BD7F4B" w:rsidRDefault="00D0477C" w:rsidP="00D15DA7">
      <w:pPr>
        <w:autoSpaceDE w:val="0"/>
        <w:autoSpaceDN w:val="0"/>
        <w:adjustRightInd w:val="0"/>
        <w:jc w:val="both"/>
      </w:pPr>
      <w:r w:rsidRPr="00BD7F4B">
        <w:rPr>
          <w:b/>
          <w:bCs/>
        </w:rPr>
        <w:t>- Mélange à froid (MF):</w:t>
      </w:r>
      <w:r w:rsidRPr="00BD7F4B">
        <w:t xml:space="preserve"> On calcine vingt</w:t>
      </w:r>
      <w:r w:rsidRPr="00BD7F4B">
        <w:rPr>
          <w:b/>
          <w:bCs/>
        </w:rPr>
        <w:t xml:space="preserve"> </w:t>
      </w:r>
      <w:r w:rsidRPr="00BD7F4B">
        <w:t xml:space="preserve">échantillons du phosphate de 200 grammes à la température de calcination de </w:t>
      </w:r>
      <w:smartTag w:uri="urn:schemas-microsoft-com:office:smarttags" w:element="metricconverter">
        <w:smartTagPr>
          <w:attr w:name="ProductID" w:val="800ﾰC"/>
        </w:smartTagPr>
        <w:r w:rsidRPr="00BD7F4B">
          <w:t>800°C</w:t>
        </w:r>
      </w:smartTag>
      <w:r w:rsidRPr="00BD7F4B">
        <w:t xml:space="preserve"> en un temps de séjour de 30 minutes </w:t>
      </w:r>
      <w:r w:rsidRPr="00BD7F4B">
        <w:rPr>
          <w:b/>
          <w:bCs/>
          <w:lang w:bidi="ar-MA"/>
        </w:rPr>
        <w:t>[</w:t>
      </w:r>
      <w:r w:rsidR="00D15DA7" w:rsidRPr="00BD7F4B">
        <w:rPr>
          <w:b/>
          <w:bCs/>
          <w:lang w:bidi="ar-MA"/>
        </w:rPr>
        <w:t>4</w:t>
      </w:r>
      <w:r w:rsidRPr="00BD7F4B">
        <w:rPr>
          <w:b/>
          <w:bCs/>
          <w:lang w:bidi="ar-MA"/>
        </w:rPr>
        <w:t xml:space="preserve">; </w:t>
      </w:r>
      <w:r w:rsidR="00D15DA7" w:rsidRPr="00BD7F4B">
        <w:rPr>
          <w:b/>
          <w:bCs/>
          <w:lang w:bidi="ar-MA"/>
        </w:rPr>
        <w:t>7</w:t>
      </w:r>
      <w:r w:rsidRPr="00BD7F4B">
        <w:rPr>
          <w:b/>
          <w:bCs/>
          <w:lang w:bidi="ar-MA"/>
        </w:rPr>
        <w:t>]</w:t>
      </w:r>
      <w:r w:rsidRPr="00BD7F4B">
        <w:t>. On les refroidit ensuite, sous l’air atmosphérique avant de les mélanger avec des masses différentes (m</w:t>
      </w:r>
      <w:r w:rsidRPr="00BD7F4B">
        <w:rPr>
          <w:vertAlign w:val="subscript"/>
        </w:rPr>
        <w:t>a</w:t>
      </w:r>
      <w:r w:rsidRPr="00BD7F4B">
        <w:t>) du phosphate brut (m</w:t>
      </w:r>
      <w:r w:rsidRPr="00BD7F4B">
        <w:rPr>
          <w:vertAlign w:val="subscript"/>
        </w:rPr>
        <w:t>a</w:t>
      </w:r>
      <w:r w:rsidR="0003704A" w:rsidRPr="00BD7F4B">
        <w:t xml:space="preserve"> = m*10%, m*20%, m*30%, …</w:t>
      </w:r>
      <w:r w:rsidRPr="00BD7F4B">
        <w:t>, m*100%) de mêmes sources. Le principe de ce protocole de mélange à froid, dont les sollicitations sont purement mécaniques, consiste à mélanger les deux phosphates à la température ambiante.</w:t>
      </w:r>
    </w:p>
    <w:p w:rsidR="00451A0F" w:rsidRPr="00BD7F4B" w:rsidRDefault="00451A0F" w:rsidP="00A36AC9">
      <w:pPr>
        <w:autoSpaceDE w:val="0"/>
        <w:autoSpaceDN w:val="0"/>
        <w:adjustRightInd w:val="0"/>
        <w:jc w:val="both"/>
      </w:pPr>
      <w:r w:rsidRPr="00BD7F4B">
        <w:rPr>
          <w:b/>
          <w:bCs/>
        </w:rPr>
        <w:t>- Mélange à chaud (MC):</w:t>
      </w:r>
      <w:r w:rsidRPr="00BD7F4B">
        <w:t xml:space="preserve"> On calcine</w:t>
      </w:r>
      <w:r w:rsidRPr="00BD7F4B">
        <w:rPr>
          <w:b/>
          <w:bCs/>
        </w:rPr>
        <w:t xml:space="preserve"> </w:t>
      </w:r>
      <w:r w:rsidRPr="00BD7F4B">
        <w:t xml:space="preserve">vingt échantillons du phosphate de 200 grammes à la température de calcination de </w:t>
      </w:r>
      <w:smartTag w:uri="urn:schemas-microsoft-com:office:smarttags" w:element="metricconverter">
        <w:smartTagPr>
          <w:attr w:name="ProductID" w:val="800ﾰC"/>
        </w:smartTagPr>
        <w:r w:rsidRPr="00BD7F4B">
          <w:t>800°C</w:t>
        </w:r>
      </w:smartTag>
      <w:r w:rsidRPr="00BD7F4B">
        <w:t xml:space="preserve"> en un temps de séjour de 30 minutes, puis en mélangeant, sous la température de </w:t>
      </w:r>
      <w:smartTag w:uri="urn:schemas-microsoft-com:office:smarttags" w:element="metricconverter">
        <w:smartTagPr>
          <w:attr w:name="ProductID" w:val="800ﾰC"/>
        </w:smartTagPr>
        <w:r w:rsidRPr="00BD7F4B">
          <w:t>800°C</w:t>
        </w:r>
      </w:smartTag>
      <w:r w:rsidRPr="00BD7F4B">
        <w:t>, le phosphate calciné avec une quantité du phosphate de même propriété granulo-chimique. Cette procédure est effectué en ajoutant différentes masse de m</w:t>
      </w:r>
      <w:r w:rsidRPr="00BD7F4B">
        <w:rPr>
          <w:vertAlign w:val="subscript"/>
        </w:rPr>
        <w:t>a</w:t>
      </w:r>
      <w:r w:rsidRPr="00BD7F4B">
        <w:t xml:space="preserve"> (m</w:t>
      </w:r>
      <w:r w:rsidRPr="00BD7F4B">
        <w:rPr>
          <w:vertAlign w:val="subscript"/>
        </w:rPr>
        <w:t>a</w:t>
      </w:r>
      <w:r w:rsidRPr="00BD7F4B">
        <w:t xml:space="preserve"> = m*10%, m*20%, m*30%,…, m*100%). Ce protocole, de mélange à chaud, combine les sollicitations mécaniques et thermiques, son principe consiste à mélanger les deux phosphates à la température de la calcination.</w:t>
      </w:r>
    </w:p>
    <w:p w:rsidR="00545E2D" w:rsidRPr="00BD7F4B" w:rsidRDefault="00545E2D" w:rsidP="00A36AC9">
      <w:pPr>
        <w:tabs>
          <w:tab w:val="left" w:pos="288"/>
          <w:tab w:val="left" w:pos="600"/>
        </w:tabs>
        <w:ind w:firstLine="567"/>
        <w:jc w:val="both"/>
      </w:pPr>
      <w:r w:rsidRPr="00BD7F4B">
        <w:t>Les expériences sur les mélanges du phosphate de même source en malaxant de la même manière afin de pouvoir les comparer, ont été effectuées sous l’air atmosphérique.</w:t>
      </w:r>
    </w:p>
    <w:p w:rsidR="00545E2D" w:rsidRPr="00BD7F4B" w:rsidRDefault="00545E2D" w:rsidP="00B93B1B">
      <w:pPr>
        <w:ind w:firstLine="567"/>
        <w:jc w:val="both"/>
      </w:pPr>
      <w:r w:rsidRPr="00BD7F4B">
        <w:t>Avant l’analyse chimique des compositions (C</w:t>
      </w:r>
      <w:r w:rsidRPr="00BD7F4B">
        <w:rPr>
          <w:vertAlign w:val="subscript"/>
        </w:rPr>
        <w:t>org</w:t>
      </w:r>
      <w:r w:rsidRPr="00BD7F4B">
        <w:t>, CO</w:t>
      </w:r>
      <w:r w:rsidRPr="00BD7F4B">
        <w:rPr>
          <w:vertAlign w:val="subscript"/>
        </w:rPr>
        <w:t>2</w:t>
      </w:r>
      <w:r w:rsidRPr="00BD7F4B">
        <w:t>, P</w:t>
      </w:r>
      <w:r w:rsidRPr="00BD7F4B">
        <w:rPr>
          <w:vertAlign w:val="subscript"/>
        </w:rPr>
        <w:t>2</w:t>
      </w:r>
      <w:r w:rsidRPr="00BD7F4B">
        <w:t>O</w:t>
      </w:r>
      <w:r w:rsidRPr="00BD7F4B">
        <w:rPr>
          <w:vertAlign w:val="subscript"/>
        </w:rPr>
        <w:t>5</w:t>
      </w:r>
      <w:r w:rsidRPr="00BD7F4B">
        <w:t xml:space="preserve"> et CaO), on procède à l’extinction par injection d’air et au tamisage pour éliminer la matière volatile adsorbée et la fraction granulométrique inférieure à 40 </w:t>
      </w:r>
      <w:r w:rsidRPr="00BD7F4B">
        <w:sym w:font="Symbol" w:char="F06D"/>
      </w:r>
      <w:r w:rsidRPr="00BD7F4B">
        <w:t xml:space="preserve">m pauvre en phosphore </w:t>
      </w:r>
      <w:r w:rsidR="005416E9" w:rsidRPr="00BD7F4B">
        <w:rPr>
          <w:b/>
          <w:bCs/>
        </w:rPr>
        <w:t>[41]</w:t>
      </w:r>
      <w:r w:rsidRPr="00BD7F4B">
        <w:t>.</w:t>
      </w:r>
    </w:p>
    <w:p w:rsidR="00D24CE8" w:rsidRPr="00BD7F4B" w:rsidRDefault="00D24CE8" w:rsidP="00A36AC9">
      <w:pPr>
        <w:tabs>
          <w:tab w:val="center" w:pos="540"/>
        </w:tabs>
        <w:spacing w:before="240" w:after="240"/>
        <w:jc w:val="both"/>
        <w:rPr>
          <w:b/>
          <w:bCs/>
        </w:rPr>
      </w:pPr>
      <w:r w:rsidRPr="00BD7F4B">
        <w:rPr>
          <w:b/>
          <w:bCs/>
          <w:lang w:bidi="he-IL"/>
        </w:rPr>
        <w:t xml:space="preserve">4. 2. </w:t>
      </w:r>
      <w:r w:rsidRPr="00BD7F4B">
        <w:rPr>
          <w:b/>
          <w:bCs/>
        </w:rPr>
        <w:t>Refroidissement du phosphate calciné par le phosphate brut de même source dans les conditions standard</w:t>
      </w:r>
    </w:p>
    <w:p w:rsidR="00D24CE8" w:rsidRPr="00BD7F4B" w:rsidRDefault="00D24CE8" w:rsidP="00A36AC9">
      <w:pPr>
        <w:ind w:firstLine="564"/>
        <w:jc w:val="both"/>
      </w:pPr>
      <w:r w:rsidRPr="00BD7F4B">
        <w:t>Dans cette étude expérimentale, nous proposons d’étudier la variation des éléments C</w:t>
      </w:r>
      <w:r w:rsidRPr="00BD7F4B">
        <w:rPr>
          <w:vertAlign w:val="subscript"/>
        </w:rPr>
        <w:t>org</w:t>
      </w:r>
      <w:r w:rsidRPr="00BD7F4B">
        <w:t>, CO</w:t>
      </w:r>
      <w:r w:rsidRPr="00BD7F4B">
        <w:rPr>
          <w:vertAlign w:val="subscript"/>
        </w:rPr>
        <w:t>2</w:t>
      </w:r>
      <w:r w:rsidRPr="00BD7F4B">
        <w:t>, P</w:t>
      </w:r>
      <w:r w:rsidRPr="00BD7F4B">
        <w:rPr>
          <w:vertAlign w:val="subscript"/>
        </w:rPr>
        <w:t>2</w:t>
      </w:r>
      <w:r w:rsidRPr="00BD7F4B">
        <w:t>O</w:t>
      </w:r>
      <w:r w:rsidRPr="00BD7F4B">
        <w:rPr>
          <w:vertAlign w:val="subscript"/>
        </w:rPr>
        <w:t xml:space="preserve">5 </w:t>
      </w:r>
      <w:r w:rsidRPr="00BD7F4B">
        <w:t>et CaO en fonction du phosphate ajouté, ainsi, que la vitesse de refroidissement du phosphate calciné et celle du mélange à chaud.</w:t>
      </w:r>
    </w:p>
    <w:p w:rsidR="00D24CE8" w:rsidRPr="00BD7F4B" w:rsidRDefault="00D24CE8" w:rsidP="00A36AC9">
      <w:pPr>
        <w:tabs>
          <w:tab w:val="center" w:pos="540"/>
        </w:tabs>
        <w:spacing w:before="120" w:after="120"/>
        <w:jc w:val="both"/>
        <w:rPr>
          <w:b/>
          <w:bCs/>
        </w:rPr>
      </w:pPr>
      <w:r w:rsidRPr="00BD7F4B">
        <w:rPr>
          <w:b/>
          <w:bCs/>
          <w:lang w:bidi="he-IL"/>
        </w:rPr>
        <w:t xml:space="preserve">4. 2. 1. </w:t>
      </w:r>
      <w:r w:rsidRPr="00BD7F4B">
        <w:rPr>
          <w:b/>
          <w:bCs/>
        </w:rPr>
        <w:t>Etude de la variation des éléments C</w:t>
      </w:r>
      <w:r w:rsidRPr="00BD7F4B">
        <w:rPr>
          <w:b/>
          <w:bCs/>
          <w:vertAlign w:val="subscript"/>
        </w:rPr>
        <w:t>org</w:t>
      </w:r>
      <w:r w:rsidRPr="00BD7F4B">
        <w:rPr>
          <w:b/>
          <w:bCs/>
        </w:rPr>
        <w:t>, CO</w:t>
      </w:r>
      <w:r w:rsidRPr="00BD7F4B">
        <w:rPr>
          <w:b/>
          <w:bCs/>
          <w:vertAlign w:val="subscript"/>
        </w:rPr>
        <w:t>2</w:t>
      </w:r>
      <w:r w:rsidRPr="00BD7F4B">
        <w:rPr>
          <w:b/>
          <w:bCs/>
        </w:rPr>
        <w:t>, P</w:t>
      </w:r>
      <w:r w:rsidRPr="00BD7F4B">
        <w:rPr>
          <w:b/>
          <w:bCs/>
          <w:vertAlign w:val="subscript"/>
        </w:rPr>
        <w:t>2</w:t>
      </w:r>
      <w:r w:rsidRPr="00BD7F4B">
        <w:rPr>
          <w:b/>
          <w:bCs/>
        </w:rPr>
        <w:t>O</w:t>
      </w:r>
      <w:r w:rsidRPr="00BD7F4B">
        <w:rPr>
          <w:b/>
          <w:bCs/>
          <w:vertAlign w:val="subscript"/>
        </w:rPr>
        <w:t xml:space="preserve">5 </w:t>
      </w:r>
      <w:r w:rsidRPr="00BD7F4B">
        <w:rPr>
          <w:b/>
          <w:bCs/>
        </w:rPr>
        <w:t>et CaO en fonction du phosphate ajouté</w:t>
      </w:r>
    </w:p>
    <w:p w:rsidR="00D24CE8" w:rsidRPr="00BD7F4B" w:rsidRDefault="00D24CE8" w:rsidP="00D27837">
      <w:pPr>
        <w:tabs>
          <w:tab w:val="center" w:pos="540"/>
        </w:tabs>
        <w:spacing w:before="120" w:after="120"/>
        <w:ind w:firstLine="567"/>
        <w:jc w:val="both"/>
      </w:pPr>
      <w:r w:rsidRPr="00BD7F4B">
        <w:t>Pour mettre en valeur l’efficacité du mélange à chaud, nous avons effectué une étude comparative entre le mélange à chaud et le mélange à froid. L’évolution des teneurs en C</w:t>
      </w:r>
      <w:r w:rsidRPr="00BD7F4B">
        <w:rPr>
          <w:vertAlign w:val="subscript"/>
        </w:rPr>
        <w:t>org</w:t>
      </w:r>
      <w:r w:rsidRPr="00BD7F4B">
        <w:t>, CO</w:t>
      </w:r>
      <w:r w:rsidRPr="00BD7F4B">
        <w:rPr>
          <w:vertAlign w:val="subscript"/>
        </w:rPr>
        <w:t>2</w:t>
      </w:r>
      <w:r w:rsidRPr="00BD7F4B">
        <w:t>, P</w:t>
      </w:r>
      <w:r w:rsidRPr="00BD7F4B">
        <w:rPr>
          <w:vertAlign w:val="subscript"/>
        </w:rPr>
        <w:t>2</w:t>
      </w:r>
      <w:r w:rsidRPr="00BD7F4B">
        <w:t>O</w:t>
      </w:r>
      <w:r w:rsidRPr="00BD7F4B">
        <w:rPr>
          <w:vertAlign w:val="subscript"/>
        </w:rPr>
        <w:t>5</w:t>
      </w:r>
      <w:r w:rsidRPr="00BD7F4B">
        <w:t xml:space="preserve"> et CaO en fonction du phosphate ajouté au phosphate calciné est représentée dans la</w:t>
      </w:r>
      <w:r w:rsidRPr="00BD7F4B">
        <w:rPr>
          <w:b/>
        </w:rPr>
        <w:t xml:space="preserve"> figure. </w:t>
      </w:r>
      <w:r w:rsidR="00D27837" w:rsidRPr="00BD7F4B">
        <w:rPr>
          <w:b/>
        </w:rPr>
        <w:t>1</w:t>
      </w:r>
      <w:r w:rsidRPr="00BD7F4B">
        <w:t>.</w:t>
      </w:r>
    </w:p>
    <w:p w:rsidR="0051288E" w:rsidRPr="00BD7F4B" w:rsidRDefault="00F55159" w:rsidP="00A36AC9">
      <w:pPr>
        <w:autoSpaceDE w:val="0"/>
        <w:autoSpaceDN w:val="0"/>
        <w:adjustRightInd w:val="0"/>
        <w:jc w:val="center"/>
      </w:pPr>
      <w:r w:rsidRPr="00BD7F4B">
        <w:object w:dxaOrig="6447" w:dyaOrig="4601">
          <v:shape id="_x0000_i1025" type="#_x0000_t75" style="width:243pt;height:199pt" o:ole="" o:preferrelative="f">
            <v:imagedata r:id="rId9" o:title=""/>
            <o:lock v:ext="edit" aspectratio="f"/>
          </v:shape>
          <o:OLEObject Type="Embed" ProgID="Origin50.Graph" ShapeID="_x0000_i1025" DrawAspect="Content" ObjectID="_1622669762" r:id="rId10"/>
        </w:object>
      </w:r>
    </w:p>
    <w:p w:rsidR="0051288E" w:rsidRPr="00BD7F4B" w:rsidRDefault="00F55159" w:rsidP="00A36AC9">
      <w:pPr>
        <w:autoSpaceDE w:val="0"/>
        <w:autoSpaceDN w:val="0"/>
        <w:adjustRightInd w:val="0"/>
        <w:jc w:val="center"/>
      </w:pPr>
      <w:r w:rsidRPr="00BD7F4B">
        <w:object w:dxaOrig="6370" w:dyaOrig="4522">
          <v:shape id="_x0000_i1026" type="#_x0000_t75" style="width:241.5pt;height:200pt" o:ole="" o:preferrelative="f">
            <v:imagedata r:id="rId11" o:title=""/>
            <o:lock v:ext="edit" aspectratio="f"/>
          </v:shape>
          <o:OLEObject Type="Embed" ProgID="Origin50.Graph" ShapeID="_x0000_i1026" DrawAspect="Content" ObjectID="_1622669763" r:id="rId12"/>
        </w:object>
      </w:r>
    </w:p>
    <w:p w:rsidR="0051288E" w:rsidRPr="00BD7F4B" w:rsidRDefault="00F55159" w:rsidP="00A36AC9">
      <w:pPr>
        <w:jc w:val="center"/>
      </w:pPr>
      <w:r w:rsidRPr="00BD7F4B">
        <w:object w:dxaOrig="6440" w:dyaOrig="4551">
          <v:shape id="_x0000_i1027" type="#_x0000_t75" style="width:243pt;height:199.5pt" o:ole="" o:preferrelative="f">
            <v:imagedata r:id="rId13" o:title=""/>
            <o:lock v:ext="edit" aspectratio="f"/>
          </v:shape>
          <o:OLEObject Type="Embed" ProgID="Origin50.Graph" ShapeID="_x0000_i1027" DrawAspect="Content" ObjectID="_1622669764" r:id="rId14"/>
        </w:object>
      </w:r>
    </w:p>
    <w:p w:rsidR="0051288E" w:rsidRPr="00BD7F4B" w:rsidRDefault="00F55159" w:rsidP="00A36AC9">
      <w:pPr>
        <w:jc w:val="center"/>
      </w:pPr>
      <w:r w:rsidRPr="00BD7F4B">
        <w:object w:dxaOrig="6381" w:dyaOrig="4347">
          <v:shape id="_x0000_i1028" type="#_x0000_t75" style="width:242.5pt;height:200.5pt" o:ole="" o:preferrelative="f">
            <v:imagedata r:id="rId15" o:title=""/>
            <o:lock v:ext="edit" aspectratio="f"/>
          </v:shape>
          <o:OLEObject Type="Embed" ProgID="Origin50.Graph" ShapeID="_x0000_i1028" DrawAspect="Content" ObjectID="_1622669765" r:id="rId16"/>
        </w:object>
      </w:r>
    </w:p>
    <w:p w:rsidR="0051288E" w:rsidRPr="00BD7F4B" w:rsidRDefault="0051288E" w:rsidP="00D27837">
      <w:pPr>
        <w:ind w:firstLine="17"/>
        <w:jc w:val="center"/>
      </w:pPr>
      <w:r w:rsidRPr="00BD7F4B">
        <w:rPr>
          <w:b/>
          <w:bCs/>
        </w:rPr>
        <w:t>Figure.</w:t>
      </w:r>
      <w:r w:rsidR="00D27837" w:rsidRPr="00BD7F4B">
        <w:rPr>
          <w:b/>
          <w:bCs/>
        </w:rPr>
        <w:t>1</w:t>
      </w:r>
      <w:r w:rsidRPr="00BD7F4B">
        <w:rPr>
          <w:b/>
          <w:bCs/>
        </w:rPr>
        <w:t>:</w:t>
      </w:r>
      <w:r w:rsidRPr="00BD7F4B">
        <w:t xml:space="preserve"> Courbes de variation de C</w:t>
      </w:r>
      <w:r w:rsidRPr="00BD7F4B">
        <w:rPr>
          <w:vertAlign w:val="subscript"/>
        </w:rPr>
        <w:t>org</w:t>
      </w:r>
      <w:r w:rsidRPr="00BD7F4B">
        <w:t xml:space="preserve"> (a), CO</w:t>
      </w:r>
      <w:r w:rsidRPr="00BD7F4B">
        <w:rPr>
          <w:vertAlign w:val="subscript"/>
        </w:rPr>
        <w:t>2</w:t>
      </w:r>
      <w:r w:rsidRPr="00BD7F4B">
        <w:t xml:space="preserve"> (b), P</w:t>
      </w:r>
      <w:r w:rsidRPr="00BD7F4B">
        <w:rPr>
          <w:vertAlign w:val="subscript"/>
        </w:rPr>
        <w:t>2</w:t>
      </w:r>
      <w:r w:rsidRPr="00BD7F4B">
        <w:t>O</w:t>
      </w:r>
      <w:r w:rsidRPr="00BD7F4B">
        <w:rPr>
          <w:vertAlign w:val="subscript"/>
        </w:rPr>
        <w:t>5</w:t>
      </w:r>
      <w:r w:rsidRPr="00BD7F4B">
        <w:t xml:space="preserve"> (c) et CaO (d) en fonction de la masse de phosphate ajouté</w:t>
      </w:r>
    </w:p>
    <w:p w:rsidR="008D3B0E" w:rsidRPr="00BD7F4B" w:rsidRDefault="008D3B0E" w:rsidP="00D27837">
      <w:pPr>
        <w:spacing w:before="240"/>
        <w:ind w:firstLine="567"/>
        <w:jc w:val="both"/>
        <w:rPr>
          <w:b/>
          <w:bCs/>
          <w:lang w:bidi="ar-MA"/>
        </w:rPr>
      </w:pPr>
      <w:r w:rsidRPr="00BD7F4B">
        <w:t>L’écart de ces teneurs, relatif à ces deux mélanges, reste important jusqu’à l’ajout d’une quantité de 33% de phosphate de même source. Pour des ajouts supérieurs à 33%, cet écart diminue d’une façon remarquable. Les teneurs en C</w:t>
      </w:r>
      <w:r w:rsidRPr="00BD7F4B">
        <w:rPr>
          <w:vertAlign w:val="subscript"/>
        </w:rPr>
        <w:t>org</w:t>
      </w:r>
      <w:r w:rsidRPr="00BD7F4B">
        <w:t xml:space="preserve"> et CO</w:t>
      </w:r>
      <w:r w:rsidRPr="00BD7F4B">
        <w:rPr>
          <w:vertAlign w:val="subscript"/>
        </w:rPr>
        <w:t>2</w:t>
      </w:r>
      <w:r w:rsidRPr="00BD7F4B">
        <w:t xml:space="preserve"> obtenues deviennent supérieures aux valeurs utiles (</w:t>
      </w:r>
      <w:r w:rsidR="00050F31" w:rsidRPr="00BD7F4B">
        <w:rPr>
          <w:b/>
          <w:bCs/>
        </w:rPr>
        <w:t>fig</w:t>
      </w:r>
      <w:r w:rsidRPr="00BD7F4B">
        <w:rPr>
          <w:b/>
          <w:bCs/>
        </w:rPr>
        <w:t xml:space="preserve">. </w:t>
      </w:r>
      <w:r w:rsidR="00D27837" w:rsidRPr="00BD7F4B">
        <w:rPr>
          <w:b/>
          <w:bCs/>
        </w:rPr>
        <w:t>2</w:t>
      </w:r>
      <w:r w:rsidRPr="00BD7F4B">
        <w:t>)</w:t>
      </w:r>
      <w:r w:rsidRPr="00BD7F4B">
        <w:rPr>
          <w:b/>
          <w:bCs/>
          <w:lang w:bidi="ar-MA"/>
        </w:rPr>
        <w:t>.</w:t>
      </w:r>
    </w:p>
    <w:p w:rsidR="007E6197" w:rsidRPr="00BD7F4B" w:rsidRDefault="00567439" w:rsidP="00A36AC9">
      <w:pPr>
        <w:ind w:firstLine="17"/>
        <w:jc w:val="center"/>
        <w:rPr>
          <w:lang w:val="en-GB"/>
        </w:rPr>
      </w:pPr>
      <w:r>
        <w:rPr>
          <w:noProof/>
          <w:lang w:eastAsia="fr-FR"/>
        </w:rPr>
        <w:drawing>
          <wp:inline distT="0" distB="0" distL="0" distR="0">
            <wp:extent cx="3054350" cy="2152650"/>
            <wp:effectExtent l="0" t="0" r="0" b="0"/>
            <wp:docPr id="5" name="Obje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6197" w:rsidRPr="00BD7F4B" w:rsidRDefault="007E6197" w:rsidP="00491F1E">
      <w:pPr>
        <w:ind w:firstLine="17"/>
        <w:jc w:val="center"/>
      </w:pPr>
      <w:r w:rsidRPr="00BD7F4B">
        <w:rPr>
          <w:b/>
          <w:bCs/>
        </w:rPr>
        <w:t xml:space="preserve">Figure. </w:t>
      </w:r>
      <w:r w:rsidR="00491F1E" w:rsidRPr="00BD7F4B">
        <w:rPr>
          <w:b/>
          <w:bCs/>
        </w:rPr>
        <w:t>2</w:t>
      </w:r>
      <w:r w:rsidR="00050F31" w:rsidRPr="00BD7F4B">
        <w:rPr>
          <w:b/>
          <w:bCs/>
        </w:rPr>
        <w:t> :</w:t>
      </w:r>
      <w:r w:rsidRPr="00BD7F4B">
        <w:rPr>
          <w:b/>
          <w:bCs/>
        </w:rPr>
        <w:t xml:space="preserve"> </w:t>
      </w:r>
      <w:r w:rsidRPr="00BD7F4B">
        <w:t>Courbes de</w:t>
      </w:r>
      <w:r w:rsidR="00491F1E" w:rsidRPr="00BD7F4B">
        <w:t>s</w:t>
      </w:r>
      <w:r w:rsidRPr="00BD7F4B">
        <w:t xml:space="preserve"> variation</w:t>
      </w:r>
      <w:r w:rsidR="00491F1E" w:rsidRPr="00BD7F4B">
        <w:t>s</w:t>
      </w:r>
      <w:r w:rsidRPr="00BD7F4B">
        <w:rPr>
          <w:bCs/>
        </w:rPr>
        <w:t xml:space="preserve"> des écarts des teneurs </w:t>
      </w:r>
      <w:r w:rsidRPr="00BD7F4B">
        <w:t>des C</w:t>
      </w:r>
      <w:r w:rsidRPr="00BD7F4B">
        <w:rPr>
          <w:vertAlign w:val="subscript"/>
        </w:rPr>
        <w:t>org</w:t>
      </w:r>
      <w:r w:rsidRPr="00BD7F4B">
        <w:t xml:space="preserve"> (×) CO</w:t>
      </w:r>
      <w:r w:rsidRPr="00BD7F4B">
        <w:rPr>
          <w:vertAlign w:val="subscript"/>
        </w:rPr>
        <w:t>2</w:t>
      </w:r>
      <w:r w:rsidRPr="00BD7F4B">
        <w:t xml:space="preserve"> (▲) P</w:t>
      </w:r>
      <w:r w:rsidRPr="00BD7F4B">
        <w:rPr>
          <w:vertAlign w:val="subscript"/>
        </w:rPr>
        <w:t>2</w:t>
      </w:r>
      <w:r w:rsidRPr="00BD7F4B">
        <w:t>O</w:t>
      </w:r>
      <w:r w:rsidRPr="00BD7F4B">
        <w:rPr>
          <w:vertAlign w:val="subscript"/>
        </w:rPr>
        <w:t>5</w:t>
      </w:r>
      <w:r w:rsidRPr="00BD7F4B">
        <w:rPr>
          <w:b/>
          <w:vertAlign w:val="subscript"/>
        </w:rPr>
        <w:t xml:space="preserve"> </w:t>
      </w:r>
      <w:r w:rsidRPr="00BD7F4B">
        <w:t>(■) et CaO (●)</w:t>
      </w:r>
      <w:r w:rsidRPr="00BD7F4B">
        <w:rPr>
          <w:bCs/>
        </w:rPr>
        <w:t xml:space="preserve"> entre le mélange à chaud (MC) et à froid (MF) en fonction du phosphate ajouté</w:t>
      </w:r>
    </w:p>
    <w:p w:rsidR="00AD7B52" w:rsidRPr="00BD7F4B" w:rsidRDefault="00AD7B52" w:rsidP="00AD7B52">
      <w:pPr>
        <w:spacing w:before="240"/>
        <w:ind w:firstLine="567"/>
        <w:jc w:val="both"/>
      </w:pPr>
      <w:r w:rsidRPr="00BD7F4B">
        <w:t>Il ressort des résultats du notre protocole expérimental du mélange du phosphate:</w:t>
      </w:r>
    </w:p>
    <w:p w:rsidR="00AD7B52" w:rsidRPr="00BD7F4B" w:rsidRDefault="00AD7B52" w:rsidP="00AD7B52">
      <w:pPr>
        <w:ind w:firstLine="567"/>
        <w:jc w:val="both"/>
      </w:pPr>
      <w:r w:rsidRPr="00BD7F4B">
        <w:t>- Dans le mélange à froid, les pourcentages massiques en carbone organique (C</w:t>
      </w:r>
      <w:r w:rsidRPr="00BD7F4B">
        <w:rPr>
          <w:vertAlign w:val="subscript"/>
        </w:rPr>
        <w:t>org</w:t>
      </w:r>
      <w:r w:rsidRPr="00BD7F4B">
        <w:t>) et en dioxyde de carbone (CO</w:t>
      </w:r>
      <w:r w:rsidRPr="00BD7F4B">
        <w:rPr>
          <w:vertAlign w:val="subscript"/>
        </w:rPr>
        <w:t>2</w:t>
      </w:r>
      <w:r w:rsidRPr="00BD7F4B">
        <w:t>) diminuent, respectivement, de 1.4 à 0.15 % et de 6.6 à 1.8 % lors de la phase de calcination; alors que pendant la phase du refroidissement, ces pourcentages massiques augmentent, respectivement, de 0.15 à 0.46 % et de 1.8 à 3 %. Cela s’associe à une augmentation des teneurs du phosphate lors de la phase de calcination titrant ainsi 30.39 % en P</w:t>
      </w:r>
      <w:r w:rsidRPr="00BD7F4B">
        <w:rPr>
          <w:vertAlign w:val="subscript"/>
        </w:rPr>
        <w:t>2</w:t>
      </w:r>
      <w:r w:rsidRPr="00BD7F4B">
        <w:t>O</w:t>
      </w:r>
      <w:r w:rsidRPr="00BD7F4B">
        <w:rPr>
          <w:vertAlign w:val="subscript"/>
        </w:rPr>
        <w:t>5</w:t>
      </w:r>
      <w:r w:rsidRPr="00BD7F4B">
        <w:t xml:space="preserve"> et 48.20 % en CaO à des teneurs voisines de 34.23 % en P</w:t>
      </w:r>
      <w:r w:rsidRPr="00BD7F4B">
        <w:rPr>
          <w:vertAlign w:val="subscript"/>
        </w:rPr>
        <w:t>2</w:t>
      </w:r>
      <w:r w:rsidRPr="00BD7F4B">
        <w:t>O</w:t>
      </w:r>
      <w:r w:rsidRPr="00BD7F4B">
        <w:rPr>
          <w:vertAlign w:val="subscript"/>
        </w:rPr>
        <w:t>5</w:t>
      </w:r>
      <w:r w:rsidRPr="00BD7F4B">
        <w:t xml:space="preserve"> et 54.77 % en CaO, Ainsi, on note une diminution de 34.23 à 33 % en P</w:t>
      </w:r>
      <w:r w:rsidRPr="00BD7F4B">
        <w:rPr>
          <w:vertAlign w:val="subscript"/>
        </w:rPr>
        <w:t>2</w:t>
      </w:r>
      <w:r w:rsidRPr="00BD7F4B">
        <w:t>O</w:t>
      </w:r>
      <w:r w:rsidRPr="00BD7F4B">
        <w:rPr>
          <w:vertAlign w:val="subscript"/>
        </w:rPr>
        <w:t>5</w:t>
      </w:r>
      <w:r w:rsidRPr="00BD7F4B">
        <w:t xml:space="preserve"> et de 54.77 % à 52.88% en CaO pendant la phase du refroidissement.</w:t>
      </w:r>
    </w:p>
    <w:p w:rsidR="00AD7B52" w:rsidRPr="00BD7F4B" w:rsidRDefault="00AD7B52" w:rsidP="00AD7B52">
      <w:pPr>
        <w:ind w:firstLine="567"/>
        <w:jc w:val="both"/>
      </w:pPr>
      <w:r w:rsidRPr="00BD7F4B">
        <w:t>- Dans le mélange à chaud, les pourcentages massiques en carbone organique (C</w:t>
      </w:r>
      <w:r w:rsidRPr="00BD7F4B">
        <w:rPr>
          <w:vertAlign w:val="subscript"/>
        </w:rPr>
        <w:t>org</w:t>
      </w:r>
      <w:r w:rsidRPr="00BD7F4B">
        <w:t>) et en dioxyde de carbone (CO</w:t>
      </w:r>
      <w:r w:rsidRPr="00BD7F4B">
        <w:rPr>
          <w:vertAlign w:val="subscript"/>
        </w:rPr>
        <w:t>2</w:t>
      </w:r>
      <w:r w:rsidRPr="00BD7F4B">
        <w:t>) décroissent, respectivement, de 1.4 à 0.15 % et de 6.6 à 1.8 % respectivement, lors de la phase de calcination; alors que pendant la phase du refroidissement, ils croient, respectivement, de 0.15 à 0.3 % et de 1.8 à 2.4 % respectivement. Cela s’associe à une augmentation, lors de la phase de calcination, des teneurs du phosphate titrant de 30.39 % en P</w:t>
      </w:r>
      <w:r w:rsidRPr="00BD7F4B">
        <w:rPr>
          <w:vertAlign w:val="subscript"/>
        </w:rPr>
        <w:t>2</w:t>
      </w:r>
      <w:r w:rsidRPr="00BD7F4B">
        <w:t>O</w:t>
      </w:r>
      <w:r w:rsidRPr="00BD7F4B">
        <w:rPr>
          <w:vertAlign w:val="subscript"/>
        </w:rPr>
        <w:t>5</w:t>
      </w:r>
      <w:r w:rsidRPr="00BD7F4B">
        <w:t xml:space="preserve"> et de 48.20 % en CaO à des teneurs voisines de 34.23 % en P</w:t>
      </w:r>
      <w:r w:rsidRPr="00BD7F4B">
        <w:rPr>
          <w:vertAlign w:val="subscript"/>
        </w:rPr>
        <w:t>2</w:t>
      </w:r>
      <w:r w:rsidRPr="00BD7F4B">
        <w:t>O</w:t>
      </w:r>
      <w:r w:rsidRPr="00BD7F4B">
        <w:rPr>
          <w:vertAlign w:val="subscript"/>
        </w:rPr>
        <w:t>5</w:t>
      </w:r>
      <w:r w:rsidRPr="00BD7F4B">
        <w:t xml:space="preserve"> et 54.77 % en CaO, lors de la phase de calcination alors que pendant la phase du refroidissement, on note une diminution de 34.23 à 33.45 % en P</w:t>
      </w:r>
      <w:r w:rsidRPr="00BD7F4B">
        <w:rPr>
          <w:vertAlign w:val="subscript"/>
        </w:rPr>
        <w:t>2</w:t>
      </w:r>
      <w:r w:rsidRPr="00BD7F4B">
        <w:t>O</w:t>
      </w:r>
      <w:r w:rsidRPr="00BD7F4B">
        <w:rPr>
          <w:vertAlign w:val="subscript"/>
        </w:rPr>
        <w:t>5</w:t>
      </w:r>
      <w:r w:rsidRPr="00BD7F4B">
        <w:t xml:space="preserve"> et de 54.77 % à 53.45% en CaO.</w:t>
      </w:r>
    </w:p>
    <w:p w:rsidR="00AD7B52" w:rsidRPr="00BD7F4B" w:rsidRDefault="00AD7B52" w:rsidP="00AD7B52">
      <w:pPr>
        <w:ind w:firstLine="567"/>
        <w:jc w:val="both"/>
      </w:pPr>
      <w:r w:rsidRPr="00BD7F4B">
        <w:t>On constate, par comparaison entre les deux mélanges, que le mélange à chaud est plus efficace que celui à froid. En outre, on note que les teneurs massiques de C</w:t>
      </w:r>
      <w:r w:rsidRPr="00BD7F4B">
        <w:rPr>
          <w:vertAlign w:val="subscript"/>
        </w:rPr>
        <w:t>org</w:t>
      </w:r>
      <w:r w:rsidRPr="00BD7F4B">
        <w:t>, CO</w:t>
      </w:r>
      <w:r w:rsidRPr="00BD7F4B">
        <w:rPr>
          <w:vertAlign w:val="subscript"/>
        </w:rPr>
        <w:t>2</w:t>
      </w:r>
      <w:r w:rsidRPr="00BD7F4B">
        <w:t>, P</w:t>
      </w:r>
      <w:r w:rsidRPr="00BD7F4B">
        <w:rPr>
          <w:vertAlign w:val="subscript"/>
        </w:rPr>
        <w:t>2</w:t>
      </w:r>
      <w:r w:rsidRPr="00BD7F4B">
        <w:t>O</w:t>
      </w:r>
      <w:r w:rsidRPr="00BD7F4B">
        <w:rPr>
          <w:vertAlign w:val="subscript"/>
        </w:rPr>
        <w:t>5</w:t>
      </w:r>
      <w:r w:rsidRPr="00BD7F4B">
        <w:t xml:space="preserve"> et CaO sont conformes aux normes d’utilisations pour le phosphate traité par mélange à chaud.</w:t>
      </w:r>
    </w:p>
    <w:p w:rsidR="0044583D" w:rsidRPr="00BD7F4B" w:rsidRDefault="0044583D" w:rsidP="00A36AC9">
      <w:pPr>
        <w:spacing w:before="120" w:after="120"/>
        <w:jc w:val="both"/>
        <w:rPr>
          <w:b/>
          <w:bCs/>
        </w:rPr>
      </w:pPr>
      <w:r w:rsidRPr="00BD7F4B">
        <w:rPr>
          <w:b/>
          <w:bCs/>
        </w:rPr>
        <w:t>4. 2. 2. Etude du refroidissement des phosphates</w:t>
      </w:r>
    </w:p>
    <w:p w:rsidR="0044583D" w:rsidRPr="00BD7F4B" w:rsidRDefault="0044583D" w:rsidP="00491F1E">
      <w:pPr>
        <w:ind w:firstLine="567"/>
        <w:jc w:val="both"/>
      </w:pPr>
      <w:r w:rsidRPr="00BD7F4B">
        <w:t>Le temps de refroidissement est assez important pour étudier l'efficacité de l’enrichissement par mélange à chaud (</w:t>
      </w:r>
      <w:r w:rsidR="00A64141" w:rsidRPr="00BD7F4B">
        <w:rPr>
          <w:b/>
          <w:bCs/>
        </w:rPr>
        <w:t>fig</w:t>
      </w:r>
      <w:r w:rsidRPr="00BD7F4B">
        <w:rPr>
          <w:b/>
          <w:bCs/>
        </w:rPr>
        <w:t xml:space="preserve">. </w:t>
      </w:r>
      <w:r w:rsidR="00491F1E" w:rsidRPr="00BD7F4B">
        <w:rPr>
          <w:b/>
          <w:bCs/>
        </w:rPr>
        <w:t>3</w:t>
      </w:r>
      <w:r w:rsidRPr="00BD7F4B">
        <w:t>).</w:t>
      </w:r>
    </w:p>
    <w:p w:rsidR="0044583D" w:rsidRPr="00BD7F4B" w:rsidRDefault="001F6289" w:rsidP="00491F1E">
      <w:pPr>
        <w:spacing w:before="120" w:after="120"/>
        <w:jc w:val="center"/>
      </w:pPr>
      <w:r w:rsidRPr="00BD7F4B">
        <w:object w:dxaOrig="6082" w:dyaOrig="4429">
          <v:shape id="_x0000_i1029" type="#_x0000_t75" style="width:238.5pt;height:213.5pt" o:ole="" o:preferrelative="f">
            <v:imagedata r:id="rId18" o:title=""/>
            <o:lock v:ext="edit" aspectratio="f"/>
          </v:shape>
          <o:OLEObject Type="Embed" ProgID="Origin50.Graph" ShapeID="_x0000_i1029" DrawAspect="Content" ObjectID="_1622669766" r:id="rId19"/>
        </w:object>
      </w:r>
    </w:p>
    <w:p w:rsidR="0044583D" w:rsidRPr="00BD7F4B" w:rsidRDefault="0044583D" w:rsidP="00491F1E">
      <w:pPr>
        <w:spacing w:before="120" w:after="120"/>
        <w:jc w:val="center"/>
      </w:pPr>
      <w:r w:rsidRPr="00BD7F4B">
        <w:rPr>
          <w:b/>
          <w:bCs/>
        </w:rPr>
        <w:t xml:space="preserve">Figure. </w:t>
      </w:r>
      <w:r w:rsidR="00491F1E" w:rsidRPr="00BD7F4B">
        <w:rPr>
          <w:b/>
          <w:bCs/>
        </w:rPr>
        <w:t>3</w:t>
      </w:r>
      <w:r w:rsidR="00A64141" w:rsidRPr="00BD7F4B">
        <w:rPr>
          <w:b/>
          <w:bCs/>
        </w:rPr>
        <w:t> :</w:t>
      </w:r>
      <w:r w:rsidRPr="00BD7F4B">
        <w:t xml:space="preserve"> Vitesse du refroidissement du phosphate B et D</w:t>
      </w:r>
    </w:p>
    <w:p w:rsidR="0044583D" w:rsidRPr="00BD7F4B" w:rsidRDefault="0044583D" w:rsidP="00A36AC9">
      <w:pPr>
        <w:spacing w:before="120" w:after="120"/>
        <w:ind w:firstLine="567"/>
        <w:jc w:val="both"/>
      </w:pPr>
      <w:r w:rsidRPr="00BD7F4B">
        <w:t xml:space="preserve">Dans cette étude, l’évolution de la variation du refroidissement en fonction du temps a été effectuée par thermocouple à la vitesse propre sous la pression atmosphérique. La comparaison de l’écart de la vitesse du refroidissement du phosphate calciné </w:t>
      </w:r>
      <w:r w:rsidRPr="00BD7F4B">
        <w:rPr>
          <w:sz w:val="20"/>
          <w:szCs w:val="20"/>
        </w:rPr>
        <w:t>(</w:t>
      </w:r>
      <w:r w:rsidRPr="00BD7F4B">
        <w:rPr>
          <w:b/>
          <w:bCs/>
          <w:sz w:val="20"/>
          <w:szCs w:val="20"/>
        </w:rPr>
        <w:t>PC</w:t>
      </w:r>
      <w:r w:rsidRPr="00BD7F4B">
        <w:rPr>
          <w:sz w:val="20"/>
          <w:szCs w:val="20"/>
        </w:rPr>
        <w:t>)</w:t>
      </w:r>
      <w:r w:rsidRPr="00BD7F4B">
        <w:t xml:space="preserve"> avec celui du phosphate mélangé à chaud </w:t>
      </w:r>
      <w:r w:rsidRPr="00BD7F4B">
        <w:rPr>
          <w:sz w:val="20"/>
          <w:szCs w:val="20"/>
        </w:rPr>
        <w:t>(</w:t>
      </w:r>
      <w:r w:rsidRPr="00BD7F4B">
        <w:rPr>
          <w:b/>
          <w:bCs/>
          <w:sz w:val="20"/>
          <w:szCs w:val="20"/>
        </w:rPr>
        <w:t>MC</w:t>
      </w:r>
      <w:r w:rsidRPr="00BD7F4B">
        <w:rPr>
          <w:sz w:val="20"/>
          <w:szCs w:val="20"/>
        </w:rPr>
        <w:t>)</w:t>
      </w:r>
      <w:r w:rsidRPr="00BD7F4B">
        <w:t xml:space="preserve"> indique l’intérêt potentiel du mélange à chaud du point de vue énergétique; ce qui permet de réduire le pourcentage du carbone totale à une valeur admissible. Cela est confirmé par l'étude du comportement de la matrice du phosphate pendant le traitement par mélange à chaud.</w:t>
      </w:r>
    </w:p>
    <w:p w:rsidR="00DE154B" w:rsidRPr="00BD7F4B" w:rsidRDefault="00E40959" w:rsidP="00E40959">
      <w:pPr>
        <w:tabs>
          <w:tab w:val="center" w:pos="540"/>
        </w:tabs>
        <w:spacing w:before="240" w:after="240"/>
        <w:jc w:val="center"/>
        <w:rPr>
          <w:b/>
          <w:bCs/>
          <w:sz w:val="28"/>
          <w:szCs w:val="28"/>
        </w:rPr>
      </w:pPr>
      <w:r w:rsidRPr="00BD7F4B">
        <w:rPr>
          <w:b/>
          <w:bCs/>
          <w:sz w:val="28"/>
          <w:szCs w:val="28"/>
          <w:lang w:bidi="he-IL"/>
        </w:rPr>
        <w:t xml:space="preserve">5. COMPARAISON DES DONNES PHYSICO-CHIMIQUES </w:t>
      </w:r>
      <w:r w:rsidRPr="00BD7F4B">
        <w:rPr>
          <w:b/>
          <w:bCs/>
          <w:sz w:val="28"/>
          <w:szCs w:val="28"/>
        </w:rPr>
        <w:t>DES PHOSPHATES BRUT ET CALCINE AVEC CELLES DES PHOSPHATES MELANGES A FROID ET A CHAUD</w:t>
      </w:r>
    </w:p>
    <w:p w:rsidR="00F2285A" w:rsidRPr="00BD7F4B" w:rsidRDefault="00F2285A" w:rsidP="00A36AC9">
      <w:pPr>
        <w:ind w:firstLine="567"/>
        <w:jc w:val="both"/>
      </w:pPr>
      <w:r w:rsidRPr="00BD7F4B">
        <w:t>Pour mettre en valeur le traitement thermique par mélange à chaud, nous avons comparé les caractéristiques physicochimiques, étudiées et analysées précédemment, de quatre types de phosphates: brut (A), calciné (B), mélangé à froid (C) et mélangé à chaud (D).</w:t>
      </w:r>
    </w:p>
    <w:p w:rsidR="00A22978" w:rsidRPr="00BD7F4B" w:rsidRDefault="00A22978" w:rsidP="00491F1E">
      <w:pPr>
        <w:tabs>
          <w:tab w:val="center" w:pos="540"/>
        </w:tabs>
        <w:spacing w:before="120" w:after="120"/>
        <w:jc w:val="both"/>
        <w:rPr>
          <w:b/>
          <w:bCs/>
          <w:lang w:bidi="he-IL"/>
        </w:rPr>
      </w:pPr>
      <w:r w:rsidRPr="00BD7F4B">
        <w:rPr>
          <w:b/>
          <w:bCs/>
          <w:lang w:bidi="he-IL"/>
        </w:rPr>
        <w:t>5. 1. Les conditions de préparation des échantillons des différents phosphates A, B, C et D</w:t>
      </w:r>
    </w:p>
    <w:p w:rsidR="00A22978" w:rsidRPr="00BD7F4B" w:rsidRDefault="00A22978" w:rsidP="00A36AC9">
      <w:pPr>
        <w:tabs>
          <w:tab w:val="center" w:pos="540"/>
        </w:tabs>
        <w:spacing w:before="120" w:after="240"/>
        <w:ind w:firstLine="567"/>
        <w:jc w:val="both"/>
      </w:pPr>
      <w:r w:rsidRPr="00BD7F4B">
        <w:rPr>
          <w:lang w:bidi="he-IL"/>
        </w:rPr>
        <w:t>Les conditions de préparation des échantillons des différents phosphates A, B, C et D sont indiquée dans l</w:t>
      </w:r>
      <w:r w:rsidRPr="00BD7F4B">
        <w:t xml:space="preserve">e </w:t>
      </w:r>
      <w:r w:rsidRPr="00BD7F4B">
        <w:rPr>
          <w:b/>
          <w:bCs/>
        </w:rPr>
        <w:t>tableau</w:t>
      </w:r>
      <w:r w:rsidR="00D107FA" w:rsidRPr="00BD7F4B">
        <w:rPr>
          <w:b/>
          <w:bCs/>
        </w:rPr>
        <w:t xml:space="preserve">. </w:t>
      </w:r>
      <w:r w:rsidR="0097460E" w:rsidRPr="00BD7F4B">
        <w:rPr>
          <w:b/>
          <w:bCs/>
        </w:rPr>
        <w:t>2</w:t>
      </w:r>
      <w:r w:rsidRPr="00BD7F4B">
        <w:t xml:space="preserve"> ci-dessous.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580"/>
      </w:tblGrid>
      <w:tr w:rsidR="00A22978" w:rsidRPr="00791F57" w:rsidTr="00791F57">
        <w:trPr>
          <w:jc w:val="center"/>
        </w:trPr>
        <w:tc>
          <w:tcPr>
            <w:tcW w:w="2809" w:type="dxa"/>
            <w:shd w:val="clear" w:color="auto" w:fill="auto"/>
          </w:tcPr>
          <w:p w:rsidR="00A22978" w:rsidRPr="00791F57" w:rsidRDefault="00A22978" w:rsidP="00791F57">
            <w:pPr>
              <w:jc w:val="both"/>
              <w:rPr>
                <w:b/>
                <w:bCs/>
              </w:rPr>
            </w:pPr>
            <w:r w:rsidRPr="00BD7F4B">
              <w:t>Echantillon</w:t>
            </w:r>
          </w:p>
        </w:tc>
        <w:tc>
          <w:tcPr>
            <w:tcW w:w="5580" w:type="dxa"/>
            <w:shd w:val="clear" w:color="auto" w:fill="auto"/>
          </w:tcPr>
          <w:p w:rsidR="00A22978" w:rsidRPr="00791F57" w:rsidRDefault="00A22978" w:rsidP="00791F57">
            <w:pPr>
              <w:jc w:val="both"/>
              <w:rPr>
                <w:b/>
                <w:bCs/>
              </w:rPr>
            </w:pPr>
            <w:r w:rsidRPr="00BD7F4B">
              <w:t>Conditions de préparation</w:t>
            </w:r>
          </w:p>
        </w:tc>
      </w:tr>
      <w:tr w:rsidR="00A22978" w:rsidRPr="00791F57" w:rsidTr="00791F57">
        <w:trPr>
          <w:jc w:val="center"/>
        </w:trPr>
        <w:tc>
          <w:tcPr>
            <w:tcW w:w="2809" w:type="dxa"/>
            <w:shd w:val="clear" w:color="auto" w:fill="auto"/>
          </w:tcPr>
          <w:p w:rsidR="00A22978" w:rsidRPr="00791F57" w:rsidRDefault="00A22978" w:rsidP="00791F57">
            <w:pPr>
              <w:jc w:val="both"/>
              <w:rPr>
                <w:b/>
                <w:bCs/>
              </w:rPr>
            </w:pPr>
            <w:r w:rsidRPr="00BD7F4B">
              <w:t>Brut (A)</w:t>
            </w:r>
          </w:p>
        </w:tc>
        <w:tc>
          <w:tcPr>
            <w:tcW w:w="5580" w:type="dxa"/>
            <w:shd w:val="clear" w:color="auto" w:fill="auto"/>
          </w:tcPr>
          <w:p w:rsidR="00A22978" w:rsidRPr="00791F57" w:rsidRDefault="00A22978" w:rsidP="00791F57">
            <w:pPr>
              <w:jc w:val="both"/>
              <w:rPr>
                <w:b/>
                <w:bCs/>
              </w:rPr>
            </w:pPr>
            <w:r w:rsidRPr="00BD7F4B">
              <w:t>Phosphate brut</w:t>
            </w:r>
          </w:p>
        </w:tc>
      </w:tr>
      <w:tr w:rsidR="00A22978" w:rsidRPr="00791F57" w:rsidTr="00791F57">
        <w:trPr>
          <w:jc w:val="center"/>
        </w:trPr>
        <w:tc>
          <w:tcPr>
            <w:tcW w:w="2809" w:type="dxa"/>
            <w:shd w:val="clear" w:color="auto" w:fill="auto"/>
          </w:tcPr>
          <w:p w:rsidR="00A22978" w:rsidRPr="00791F57" w:rsidRDefault="00A22978" w:rsidP="00791F57">
            <w:pPr>
              <w:jc w:val="both"/>
              <w:rPr>
                <w:b/>
                <w:bCs/>
              </w:rPr>
            </w:pPr>
            <w:r w:rsidRPr="00BD7F4B">
              <w:t>Phosphate calciné (B)</w:t>
            </w:r>
          </w:p>
        </w:tc>
        <w:tc>
          <w:tcPr>
            <w:tcW w:w="5580" w:type="dxa"/>
            <w:shd w:val="clear" w:color="auto" w:fill="auto"/>
          </w:tcPr>
          <w:p w:rsidR="00A22978" w:rsidRPr="00791F57" w:rsidRDefault="00A22978" w:rsidP="00791F57">
            <w:pPr>
              <w:jc w:val="both"/>
              <w:rPr>
                <w:b/>
                <w:bCs/>
              </w:rPr>
            </w:pPr>
            <w:r w:rsidRPr="00BD7F4B">
              <w:t xml:space="preserve">Phosphate calciné à </w:t>
            </w:r>
            <w:smartTag w:uri="urn:schemas-microsoft-com:office:smarttags" w:element="metricconverter">
              <w:smartTagPr>
                <w:attr w:name="ProductID" w:val="800ﾰC"/>
              </w:smartTagPr>
              <w:r w:rsidRPr="00BD7F4B">
                <w:t>800°C</w:t>
              </w:r>
            </w:smartTag>
            <w:r w:rsidRPr="00BD7F4B">
              <w:t xml:space="preserve"> pendant 30 min</w:t>
            </w:r>
          </w:p>
        </w:tc>
      </w:tr>
      <w:tr w:rsidR="00A22978" w:rsidRPr="00791F57" w:rsidTr="00791F57">
        <w:trPr>
          <w:jc w:val="center"/>
        </w:trPr>
        <w:tc>
          <w:tcPr>
            <w:tcW w:w="2809" w:type="dxa"/>
            <w:shd w:val="clear" w:color="auto" w:fill="auto"/>
          </w:tcPr>
          <w:p w:rsidR="00A22978" w:rsidRPr="00791F57" w:rsidRDefault="00A22978" w:rsidP="00791F57">
            <w:pPr>
              <w:jc w:val="both"/>
              <w:rPr>
                <w:b/>
                <w:bCs/>
              </w:rPr>
            </w:pPr>
            <w:r w:rsidRPr="00BD7F4B">
              <w:t>Mélange à froid (C)</w:t>
            </w:r>
          </w:p>
        </w:tc>
        <w:tc>
          <w:tcPr>
            <w:tcW w:w="5580" w:type="dxa"/>
            <w:shd w:val="clear" w:color="auto" w:fill="auto"/>
          </w:tcPr>
          <w:p w:rsidR="00A22978" w:rsidRPr="00791F57" w:rsidRDefault="00A22978" w:rsidP="00791F57">
            <w:pPr>
              <w:jc w:val="both"/>
              <w:rPr>
                <w:b/>
                <w:bCs/>
              </w:rPr>
            </w:pPr>
            <w:r w:rsidRPr="00BD7F4B">
              <w:t>[67% (B) + 33% Brut (A)] à température ambiante</w:t>
            </w:r>
          </w:p>
        </w:tc>
      </w:tr>
      <w:tr w:rsidR="00A22978" w:rsidRPr="00791F57" w:rsidTr="00791F57">
        <w:trPr>
          <w:jc w:val="center"/>
        </w:trPr>
        <w:tc>
          <w:tcPr>
            <w:tcW w:w="2809" w:type="dxa"/>
            <w:shd w:val="clear" w:color="auto" w:fill="auto"/>
          </w:tcPr>
          <w:p w:rsidR="00A22978" w:rsidRPr="00791F57" w:rsidRDefault="00A22978" w:rsidP="00791F57">
            <w:pPr>
              <w:jc w:val="both"/>
              <w:rPr>
                <w:b/>
                <w:bCs/>
              </w:rPr>
            </w:pPr>
            <w:r w:rsidRPr="00BD7F4B">
              <w:t>Mélange à chaud (D)</w:t>
            </w:r>
          </w:p>
        </w:tc>
        <w:tc>
          <w:tcPr>
            <w:tcW w:w="5580" w:type="dxa"/>
            <w:shd w:val="clear" w:color="auto" w:fill="auto"/>
          </w:tcPr>
          <w:p w:rsidR="00A22978" w:rsidRPr="00791F57" w:rsidRDefault="00A22978" w:rsidP="00791F57">
            <w:pPr>
              <w:jc w:val="both"/>
              <w:rPr>
                <w:b/>
                <w:bCs/>
              </w:rPr>
            </w:pPr>
            <w:r w:rsidRPr="00BD7F4B">
              <w:t xml:space="preserve">[67% (B) + 33% Brut (A)] à </w:t>
            </w:r>
            <w:smartTag w:uri="urn:schemas-microsoft-com:office:smarttags" w:element="metricconverter">
              <w:smartTagPr>
                <w:attr w:name="ProductID" w:val="800ﾰC"/>
              </w:smartTagPr>
              <w:r w:rsidRPr="00BD7F4B">
                <w:t>800°C</w:t>
              </w:r>
            </w:smartTag>
            <w:r w:rsidRPr="00BD7F4B">
              <w:t xml:space="preserve"> puis refroidi à l’atmosphère</w:t>
            </w:r>
          </w:p>
        </w:tc>
      </w:tr>
    </w:tbl>
    <w:p w:rsidR="00A22978" w:rsidRPr="00BD7F4B" w:rsidRDefault="00A22978" w:rsidP="00A36AC9">
      <w:pPr>
        <w:spacing w:before="120" w:after="120"/>
        <w:ind w:firstLine="567"/>
        <w:jc w:val="center"/>
        <w:rPr>
          <w:lang w:bidi="he-IL"/>
        </w:rPr>
      </w:pPr>
      <w:r w:rsidRPr="00BD7F4B">
        <w:rPr>
          <w:b/>
          <w:bCs/>
        </w:rPr>
        <w:t>Tableau</w:t>
      </w:r>
      <w:r w:rsidR="00D107FA" w:rsidRPr="00BD7F4B">
        <w:rPr>
          <w:b/>
          <w:bCs/>
        </w:rPr>
        <w:t xml:space="preserve">. </w:t>
      </w:r>
      <w:r w:rsidR="0097460E" w:rsidRPr="00BD7F4B">
        <w:rPr>
          <w:b/>
          <w:bCs/>
        </w:rPr>
        <w:t>2</w:t>
      </w:r>
      <w:r w:rsidRPr="00BD7F4B">
        <w:rPr>
          <w:b/>
          <w:bCs/>
        </w:rPr>
        <w:t xml:space="preserve">: </w:t>
      </w:r>
      <w:r w:rsidRPr="00BD7F4B">
        <w:t>Conditions de préparation des différents phosphates (A), (B), (C) et (D)</w:t>
      </w:r>
    </w:p>
    <w:p w:rsidR="00A80759" w:rsidRPr="00BD7F4B" w:rsidRDefault="00A80759" w:rsidP="00A36AC9">
      <w:pPr>
        <w:tabs>
          <w:tab w:val="center" w:pos="540"/>
        </w:tabs>
        <w:spacing w:before="120" w:after="240"/>
        <w:jc w:val="lowKashida"/>
        <w:rPr>
          <w:b/>
          <w:bCs/>
        </w:rPr>
      </w:pPr>
      <w:r w:rsidRPr="00BD7F4B">
        <w:rPr>
          <w:b/>
          <w:bCs/>
          <w:lang w:bidi="he-IL"/>
        </w:rPr>
        <w:t xml:space="preserve">5. 2. </w:t>
      </w:r>
      <w:r w:rsidR="001A1407" w:rsidRPr="00BD7F4B">
        <w:rPr>
          <w:b/>
          <w:bCs/>
          <w:lang w:bidi="he-IL"/>
        </w:rPr>
        <w:t>Comparaison</w:t>
      </w:r>
      <w:r w:rsidR="00CE0FF4" w:rsidRPr="00BD7F4B">
        <w:rPr>
          <w:b/>
          <w:bCs/>
          <w:lang w:bidi="he-IL"/>
        </w:rPr>
        <w:t xml:space="preserve"> entre le</w:t>
      </w:r>
      <w:r w:rsidR="00CE0FF4" w:rsidRPr="00BD7F4B">
        <w:rPr>
          <w:b/>
          <w:bCs/>
        </w:rPr>
        <w:t>s</w:t>
      </w:r>
      <w:r w:rsidR="00CE0FF4" w:rsidRPr="00BD7F4B">
        <w:rPr>
          <w:b/>
          <w:bCs/>
          <w:lang w:bidi="he-IL"/>
        </w:rPr>
        <w:t xml:space="preserve"> constituants chimiques </w:t>
      </w:r>
      <w:r w:rsidR="00CE0FF4" w:rsidRPr="00BD7F4B">
        <w:rPr>
          <w:b/>
          <w:bCs/>
        </w:rPr>
        <w:t>du phosphate brut, calciné et des mélanges de phosphate à froid et à chaud</w:t>
      </w:r>
    </w:p>
    <w:p w:rsidR="003A2011" w:rsidRPr="00BD7F4B" w:rsidRDefault="003A2011" w:rsidP="001F0C7D">
      <w:pPr>
        <w:spacing w:before="360"/>
        <w:ind w:firstLine="567"/>
        <w:jc w:val="both"/>
      </w:pPr>
      <w:r w:rsidRPr="00BD7F4B">
        <w:t>L’analyse chimique est l’œil de contrôle d’un tel procédé de valorisation des phosphates et de ces dérivés. Pour mettre en valeur l’intérêt potentiel du mélange à chaud, nous avons effectués une étude comparative entre le phosphate brut, calciné et des phosphates mélangés à froid et à chaud. Les résultats des analyses chimiques quantitatives (en % massique)</w:t>
      </w:r>
      <w:r w:rsidRPr="00BD7F4B">
        <w:rPr>
          <w:sz w:val="23"/>
          <w:szCs w:val="23"/>
        </w:rPr>
        <w:t xml:space="preserve"> </w:t>
      </w:r>
      <w:r w:rsidRPr="00BD7F4B">
        <w:t xml:space="preserve">sont présentés dans le </w:t>
      </w:r>
      <w:r w:rsidRPr="00BD7F4B">
        <w:rPr>
          <w:b/>
          <w:bCs/>
        </w:rPr>
        <w:t>tableau. 3</w:t>
      </w:r>
      <w:r w:rsidRPr="00BD7F4B">
        <w:t>.</w:t>
      </w:r>
    </w:p>
    <w:tbl>
      <w:tblPr>
        <w:tblpPr w:leftFromText="141" w:rightFromText="141" w:vertAnchor="text" w:horzAnchor="margin" w:tblpXSpec="center" w:tblpY="91"/>
        <w:tblW w:w="87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08"/>
        <w:gridCol w:w="2160"/>
        <w:gridCol w:w="1980"/>
        <w:gridCol w:w="1800"/>
      </w:tblGrid>
      <w:tr w:rsidR="0097460E" w:rsidRPr="00BD7F4B">
        <w:tc>
          <w:tcPr>
            <w:tcW w:w="2808" w:type="dxa"/>
          </w:tcPr>
          <w:p w:rsidR="0097460E" w:rsidRPr="00BD7F4B" w:rsidRDefault="0097460E" w:rsidP="00A36AC9">
            <w:pPr>
              <w:jc w:val="center"/>
              <w:rPr>
                <w:sz w:val="20"/>
                <w:szCs w:val="20"/>
              </w:rPr>
            </w:pPr>
            <w:r w:rsidRPr="00BD7F4B">
              <w:rPr>
                <w:sz w:val="20"/>
                <w:szCs w:val="20"/>
              </w:rPr>
              <w:t>Compositions Chimiques des phosphates</w:t>
            </w:r>
          </w:p>
        </w:tc>
        <w:tc>
          <w:tcPr>
            <w:tcW w:w="2160" w:type="dxa"/>
          </w:tcPr>
          <w:p w:rsidR="0097460E" w:rsidRPr="00BD7F4B" w:rsidRDefault="0097460E" w:rsidP="00A36AC9">
            <w:pPr>
              <w:jc w:val="center"/>
              <w:rPr>
                <w:sz w:val="20"/>
                <w:szCs w:val="20"/>
              </w:rPr>
            </w:pPr>
            <w:r w:rsidRPr="00BD7F4B">
              <w:rPr>
                <w:sz w:val="20"/>
                <w:szCs w:val="20"/>
              </w:rPr>
              <w:t>Phosphate clair (%)</w:t>
            </w:r>
          </w:p>
        </w:tc>
        <w:tc>
          <w:tcPr>
            <w:tcW w:w="1980" w:type="dxa"/>
          </w:tcPr>
          <w:p w:rsidR="0097460E" w:rsidRPr="00BD7F4B" w:rsidRDefault="0097460E" w:rsidP="00A36AC9">
            <w:pPr>
              <w:jc w:val="center"/>
              <w:rPr>
                <w:sz w:val="20"/>
                <w:szCs w:val="20"/>
              </w:rPr>
            </w:pPr>
            <w:r w:rsidRPr="00BD7F4B">
              <w:rPr>
                <w:sz w:val="20"/>
                <w:szCs w:val="20"/>
              </w:rPr>
              <w:t xml:space="preserve">Phosphate calciné à </w:t>
            </w:r>
            <w:smartTag w:uri="urn:schemas-microsoft-com:office:smarttags" w:element="metricconverter">
              <w:smartTagPr>
                <w:attr w:name="ProductID" w:val="800ﾰC"/>
              </w:smartTagPr>
              <w:r w:rsidRPr="00BD7F4B">
                <w:rPr>
                  <w:sz w:val="20"/>
                  <w:szCs w:val="20"/>
                </w:rPr>
                <w:t>800°C</w:t>
              </w:r>
            </w:smartTag>
            <w:r w:rsidRPr="00BD7F4B">
              <w:rPr>
                <w:sz w:val="20"/>
                <w:szCs w:val="20"/>
              </w:rPr>
              <w:t xml:space="preserve"> (%)</w:t>
            </w:r>
          </w:p>
        </w:tc>
        <w:tc>
          <w:tcPr>
            <w:tcW w:w="1800" w:type="dxa"/>
          </w:tcPr>
          <w:p w:rsidR="0097460E" w:rsidRPr="00BD7F4B" w:rsidRDefault="0097460E" w:rsidP="00A36AC9">
            <w:pPr>
              <w:jc w:val="center"/>
              <w:rPr>
                <w:sz w:val="20"/>
                <w:szCs w:val="20"/>
              </w:rPr>
            </w:pPr>
            <w:r w:rsidRPr="00BD7F4B">
              <w:rPr>
                <w:sz w:val="20"/>
                <w:szCs w:val="20"/>
              </w:rPr>
              <w:t>Mélange à chaud</w:t>
            </w:r>
          </w:p>
        </w:tc>
      </w:tr>
      <w:tr w:rsidR="0097460E" w:rsidRPr="00BD7F4B">
        <w:tc>
          <w:tcPr>
            <w:tcW w:w="2808" w:type="dxa"/>
          </w:tcPr>
          <w:p w:rsidR="0097460E" w:rsidRPr="00BD7F4B" w:rsidRDefault="0097460E" w:rsidP="00A36AC9">
            <w:pPr>
              <w:jc w:val="center"/>
              <w:rPr>
                <w:vertAlign w:val="subscript"/>
              </w:rPr>
            </w:pPr>
            <w:r w:rsidRPr="00BD7F4B">
              <w:t>P</w:t>
            </w:r>
            <w:r w:rsidRPr="00BD7F4B">
              <w:rPr>
                <w:vertAlign w:val="subscript"/>
              </w:rPr>
              <w:t>2</w:t>
            </w:r>
            <w:r w:rsidRPr="00BD7F4B">
              <w:t>O</w:t>
            </w:r>
            <w:r w:rsidRPr="00BD7F4B">
              <w:rPr>
                <w:vertAlign w:val="subscript"/>
              </w:rPr>
              <w:t>5</w:t>
            </w:r>
          </w:p>
        </w:tc>
        <w:tc>
          <w:tcPr>
            <w:tcW w:w="2160" w:type="dxa"/>
          </w:tcPr>
          <w:p w:rsidR="0097460E" w:rsidRPr="00BD7F4B" w:rsidRDefault="0097460E" w:rsidP="00A36AC9">
            <w:pPr>
              <w:jc w:val="center"/>
            </w:pPr>
            <w:r w:rsidRPr="00BD7F4B">
              <w:t>31.10</w:t>
            </w:r>
          </w:p>
        </w:tc>
        <w:tc>
          <w:tcPr>
            <w:tcW w:w="1980" w:type="dxa"/>
          </w:tcPr>
          <w:p w:rsidR="0097460E" w:rsidRPr="00BD7F4B" w:rsidRDefault="0097460E" w:rsidP="00A36AC9">
            <w:pPr>
              <w:jc w:val="center"/>
            </w:pPr>
            <w:r w:rsidRPr="00BD7F4B">
              <w:t>33.90</w:t>
            </w:r>
          </w:p>
        </w:tc>
        <w:tc>
          <w:tcPr>
            <w:tcW w:w="1800" w:type="dxa"/>
          </w:tcPr>
          <w:p w:rsidR="0097460E" w:rsidRPr="00BD7F4B" w:rsidRDefault="0097460E" w:rsidP="00A36AC9">
            <w:pPr>
              <w:jc w:val="center"/>
            </w:pPr>
            <w:r w:rsidRPr="00BD7F4B">
              <w:t>33,70</w:t>
            </w:r>
          </w:p>
        </w:tc>
      </w:tr>
      <w:tr w:rsidR="0097460E" w:rsidRPr="00BD7F4B">
        <w:tc>
          <w:tcPr>
            <w:tcW w:w="2808" w:type="dxa"/>
          </w:tcPr>
          <w:p w:rsidR="0097460E" w:rsidRPr="00BD7F4B" w:rsidRDefault="0097460E" w:rsidP="00A36AC9">
            <w:pPr>
              <w:jc w:val="center"/>
              <w:rPr>
                <w:vertAlign w:val="subscript"/>
              </w:rPr>
            </w:pPr>
            <w:r w:rsidRPr="00BD7F4B">
              <w:t>CO</w:t>
            </w:r>
            <w:r w:rsidRPr="00BD7F4B">
              <w:rPr>
                <w:vertAlign w:val="subscript"/>
              </w:rPr>
              <w:t>2</w:t>
            </w:r>
          </w:p>
        </w:tc>
        <w:tc>
          <w:tcPr>
            <w:tcW w:w="2160" w:type="dxa"/>
          </w:tcPr>
          <w:p w:rsidR="0097460E" w:rsidRPr="00BD7F4B" w:rsidRDefault="0097460E" w:rsidP="00A36AC9">
            <w:pPr>
              <w:jc w:val="center"/>
            </w:pPr>
            <w:r w:rsidRPr="00BD7F4B">
              <w:t>6.6</w:t>
            </w:r>
          </w:p>
        </w:tc>
        <w:tc>
          <w:tcPr>
            <w:tcW w:w="1980" w:type="dxa"/>
          </w:tcPr>
          <w:p w:rsidR="0097460E" w:rsidRPr="00BD7F4B" w:rsidRDefault="0097460E" w:rsidP="00A36AC9">
            <w:pPr>
              <w:jc w:val="center"/>
            </w:pPr>
            <w:r w:rsidRPr="00BD7F4B">
              <w:t>2.6</w:t>
            </w:r>
          </w:p>
        </w:tc>
        <w:tc>
          <w:tcPr>
            <w:tcW w:w="1800" w:type="dxa"/>
          </w:tcPr>
          <w:p w:rsidR="0097460E" w:rsidRPr="00BD7F4B" w:rsidRDefault="0097460E" w:rsidP="00A36AC9">
            <w:pPr>
              <w:jc w:val="center"/>
            </w:pPr>
            <w:r w:rsidRPr="00BD7F4B">
              <w:t>2,96</w:t>
            </w:r>
          </w:p>
        </w:tc>
      </w:tr>
      <w:tr w:rsidR="0097460E" w:rsidRPr="00BD7F4B">
        <w:tc>
          <w:tcPr>
            <w:tcW w:w="2808" w:type="dxa"/>
          </w:tcPr>
          <w:p w:rsidR="0097460E" w:rsidRPr="00BD7F4B" w:rsidRDefault="0097460E" w:rsidP="00A36AC9">
            <w:pPr>
              <w:jc w:val="center"/>
            </w:pPr>
            <w:r w:rsidRPr="00BD7F4B">
              <w:t>CaO</w:t>
            </w:r>
          </w:p>
        </w:tc>
        <w:tc>
          <w:tcPr>
            <w:tcW w:w="2160" w:type="dxa"/>
          </w:tcPr>
          <w:p w:rsidR="0097460E" w:rsidRPr="00BD7F4B" w:rsidRDefault="0097460E" w:rsidP="00A36AC9">
            <w:pPr>
              <w:jc w:val="center"/>
            </w:pPr>
            <w:r w:rsidRPr="00BD7F4B">
              <w:t>49.2</w:t>
            </w:r>
          </w:p>
        </w:tc>
        <w:tc>
          <w:tcPr>
            <w:tcW w:w="1980" w:type="dxa"/>
          </w:tcPr>
          <w:p w:rsidR="0097460E" w:rsidRPr="00BD7F4B" w:rsidRDefault="0097460E" w:rsidP="00A36AC9">
            <w:pPr>
              <w:jc w:val="center"/>
            </w:pPr>
            <w:r w:rsidRPr="00BD7F4B">
              <w:t>53.70</w:t>
            </w:r>
          </w:p>
        </w:tc>
        <w:tc>
          <w:tcPr>
            <w:tcW w:w="1800" w:type="dxa"/>
          </w:tcPr>
          <w:p w:rsidR="0097460E" w:rsidRPr="00BD7F4B" w:rsidRDefault="0097460E" w:rsidP="00A36AC9">
            <w:pPr>
              <w:jc w:val="center"/>
            </w:pPr>
            <w:r w:rsidRPr="00BD7F4B">
              <w:t>53,42</w:t>
            </w:r>
          </w:p>
        </w:tc>
      </w:tr>
      <w:tr w:rsidR="0097460E" w:rsidRPr="00BD7F4B">
        <w:tc>
          <w:tcPr>
            <w:tcW w:w="2808" w:type="dxa"/>
          </w:tcPr>
          <w:p w:rsidR="0097460E" w:rsidRPr="00BD7F4B" w:rsidRDefault="0097460E" w:rsidP="00A36AC9">
            <w:pPr>
              <w:jc w:val="center"/>
              <w:rPr>
                <w:vertAlign w:val="subscript"/>
              </w:rPr>
            </w:pPr>
            <w:r w:rsidRPr="00BD7F4B">
              <w:t>SiO</w:t>
            </w:r>
            <w:r w:rsidRPr="00BD7F4B">
              <w:rPr>
                <w:vertAlign w:val="subscript"/>
              </w:rPr>
              <w:t>2</w:t>
            </w:r>
          </w:p>
        </w:tc>
        <w:tc>
          <w:tcPr>
            <w:tcW w:w="2160" w:type="dxa"/>
          </w:tcPr>
          <w:p w:rsidR="0097460E" w:rsidRPr="00BD7F4B" w:rsidRDefault="0097460E" w:rsidP="00A36AC9">
            <w:pPr>
              <w:jc w:val="center"/>
            </w:pPr>
            <w:r w:rsidRPr="00BD7F4B">
              <w:t>3.38</w:t>
            </w:r>
          </w:p>
        </w:tc>
        <w:tc>
          <w:tcPr>
            <w:tcW w:w="1980" w:type="dxa"/>
          </w:tcPr>
          <w:p w:rsidR="0097460E" w:rsidRPr="00BD7F4B" w:rsidRDefault="0097460E" w:rsidP="00A36AC9">
            <w:pPr>
              <w:jc w:val="center"/>
            </w:pPr>
            <w:r w:rsidRPr="00BD7F4B">
              <w:t>3,04</w:t>
            </w:r>
          </w:p>
        </w:tc>
        <w:tc>
          <w:tcPr>
            <w:tcW w:w="1800" w:type="dxa"/>
          </w:tcPr>
          <w:p w:rsidR="0097460E" w:rsidRPr="00BD7F4B" w:rsidRDefault="0097460E" w:rsidP="00A36AC9">
            <w:pPr>
              <w:jc w:val="center"/>
            </w:pPr>
            <w:r w:rsidRPr="00BD7F4B">
              <w:t>3,46</w:t>
            </w:r>
          </w:p>
        </w:tc>
      </w:tr>
      <w:tr w:rsidR="0097460E" w:rsidRPr="00BD7F4B">
        <w:tc>
          <w:tcPr>
            <w:tcW w:w="2808" w:type="dxa"/>
          </w:tcPr>
          <w:p w:rsidR="0097460E" w:rsidRPr="00BD7F4B" w:rsidRDefault="0097460E" w:rsidP="00A36AC9">
            <w:pPr>
              <w:jc w:val="center"/>
            </w:pPr>
            <w:r w:rsidRPr="00BD7F4B">
              <w:t>H</w:t>
            </w:r>
            <w:r w:rsidRPr="00BD7F4B">
              <w:rPr>
                <w:vertAlign w:val="subscript"/>
              </w:rPr>
              <w:t>2</w:t>
            </w:r>
            <w:r w:rsidRPr="00BD7F4B">
              <w:t>O</w:t>
            </w:r>
          </w:p>
        </w:tc>
        <w:tc>
          <w:tcPr>
            <w:tcW w:w="2160" w:type="dxa"/>
          </w:tcPr>
          <w:p w:rsidR="0097460E" w:rsidRPr="00BD7F4B" w:rsidRDefault="0097460E" w:rsidP="00A36AC9">
            <w:pPr>
              <w:jc w:val="center"/>
              <w:rPr>
                <w:lang w:val="en-GB"/>
              </w:rPr>
            </w:pPr>
            <w:r w:rsidRPr="00BD7F4B">
              <w:rPr>
                <w:lang w:val="en-GB"/>
              </w:rPr>
              <w:t>5.4</w:t>
            </w:r>
          </w:p>
        </w:tc>
        <w:tc>
          <w:tcPr>
            <w:tcW w:w="1980" w:type="dxa"/>
          </w:tcPr>
          <w:p w:rsidR="0097460E" w:rsidRPr="00BD7F4B" w:rsidRDefault="0097460E" w:rsidP="00A36AC9">
            <w:pPr>
              <w:jc w:val="center"/>
              <w:rPr>
                <w:lang w:val="en-GB"/>
              </w:rPr>
            </w:pPr>
            <w:r w:rsidRPr="00BD7F4B">
              <w:rPr>
                <w:lang w:val="en-GB"/>
              </w:rPr>
              <w:t>1.98</w:t>
            </w:r>
          </w:p>
        </w:tc>
        <w:tc>
          <w:tcPr>
            <w:tcW w:w="1800" w:type="dxa"/>
          </w:tcPr>
          <w:p w:rsidR="0097460E" w:rsidRPr="00BD7F4B" w:rsidRDefault="0097460E" w:rsidP="00A36AC9">
            <w:pPr>
              <w:jc w:val="center"/>
            </w:pPr>
            <w:r w:rsidRPr="00BD7F4B">
              <w:t>2,25</w:t>
            </w:r>
          </w:p>
        </w:tc>
      </w:tr>
      <w:tr w:rsidR="0097460E" w:rsidRPr="00BD7F4B">
        <w:tc>
          <w:tcPr>
            <w:tcW w:w="2808" w:type="dxa"/>
          </w:tcPr>
          <w:p w:rsidR="0097460E" w:rsidRPr="00BD7F4B" w:rsidRDefault="0097460E" w:rsidP="00A36AC9">
            <w:pPr>
              <w:jc w:val="center"/>
              <w:rPr>
                <w:lang w:val="en-GB"/>
              </w:rPr>
            </w:pPr>
            <w:r w:rsidRPr="00BD7F4B">
              <w:rPr>
                <w:lang w:val="en-GB"/>
              </w:rPr>
              <w:t>Al</w:t>
            </w:r>
            <w:r w:rsidRPr="00BD7F4B">
              <w:rPr>
                <w:vertAlign w:val="subscript"/>
                <w:lang w:val="en-GB"/>
              </w:rPr>
              <w:t>2</w:t>
            </w:r>
            <w:r w:rsidRPr="00BD7F4B">
              <w:rPr>
                <w:lang w:val="en-GB"/>
              </w:rPr>
              <w:t>O</w:t>
            </w:r>
          </w:p>
        </w:tc>
        <w:tc>
          <w:tcPr>
            <w:tcW w:w="2160" w:type="dxa"/>
          </w:tcPr>
          <w:p w:rsidR="0097460E" w:rsidRPr="00BD7F4B" w:rsidRDefault="0097460E" w:rsidP="00A36AC9">
            <w:pPr>
              <w:jc w:val="center"/>
              <w:rPr>
                <w:lang w:val="en-GB"/>
              </w:rPr>
            </w:pPr>
            <w:r w:rsidRPr="00BD7F4B">
              <w:rPr>
                <w:lang w:val="en-GB"/>
              </w:rPr>
              <w:t>0,42</w:t>
            </w:r>
          </w:p>
        </w:tc>
        <w:tc>
          <w:tcPr>
            <w:tcW w:w="1980" w:type="dxa"/>
          </w:tcPr>
          <w:p w:rsidR="0097460E" w:rsidRPr="00BD7F4B" w:rsidRDefault="0097460E" w:rsidP="00A36AC9">
            <w:pPr>
              <w:jc w:val="center"/>
              <w:rPr>
                <w:lang w:val="en-GB"/>
              </w:rPr>
            </w:pPr>
            <w:r w:rsidRPr="00BD7F4B">
              <w:rPr>
                <w:lang w:val="en-GB"/>
              </w:rPr>
              <w:t>0,31</w:t>
            </w:r>
          </w:p>
        </w:tc>
        <w:tc>
          <w:tcPr>
            <w:tcW w:w="1800" w:type="dxa"/>
          </w:tcPr>
          <w:p w:rsidR="0097460E" w:rsidRPr="00BD7F4B" w:rsidRDefault="0097460E" w:rsidP="00A36AC9">
            <w:pPr>
              <w:jc w:val="center"/>
              <w:rPr>
                <w:lang w:val="en-GB"/>
              </w:rPr>
            </w:pPr>
            <w:r w:rsidRPr="00BD7F4B">
              <w:rPr>
                <w:lang w:val="en-GB"/>
              </w:rPr>
              <w:t>0,34</w:t>
            </w:r>
          </w:p>
        </w:tc>
      </w:tr>
      <w:tr w:rsidR="0097460E" w:rsidRPr="00BD7F4B">
        <w:tc>
          <w:tcPr>
            <w:tcW w:w="2808" w:type="dxa"/>
          </w:tcPr>
          <w:p w:rsidR="0097460E" w:rsidRPr="00BD7F4B" w:rsidRDefault="0097460E" w:rsidP="00A36AC9">
            <w:pPr>
              <w:jc w:val="center"/>
              <w:rPr>
                <w:vertAlign w:val="subscript"/>
                <w:lang w:val="en-GB"/>
              </w:rPr>
            </w:pPr>
            <w:r w:rsidRPr="00BD7F4B">
              <w:rPr>
                <w:lang w:val="en-GB"/>
              </w:rPr>
              <w:t>Si</w:t>
            </w:r>
            <w:r w:rsidRPr="00BD7F4B">
              <w:rPr>
                <w:vertAlign w:val="subscript"/>
                <w:lang w:val="en-GB"/>
              </w:rPr>
              <w:t>2</w:t>
            </w:r>
            <w:r w:rsidRPr="00BD7F4B">
              <w:rPr>
                <w:lang w:val="en-GB"/>
              </w:rPr>
              <w:t>O</w:t>
            </w:r>
            <w:r w:rsidRPr="00BD7F4B">
              <w:rPr>
                <w:vertAlign w:val="subscript"/>
                <w:lang w:val="en-GB"/>
              </w:rPr>
              <w:t>3</w:t>
            </w:r>
          </w:p>
        </w:tc>
        <w:tc>
          <w:tcPr>
            <w:tcW w:w="2160" w:type="dxa"/>
          </w:tcPr>
          <w:p w:rsidR="0097460E" w:rsidRPr="00BD7F4B" w:rsidRDefault="0097460E" w:rsidP="00A36AC9">
            <w:pPr>
              <w:jc w:val="center"/>
              <w:rPr>
                <w:lang w:val="en-GB"/>
              </w:rPr>
            </w:pPr>
            <w:r w:rsidRPr="00BD7F4B">
              <w:rPr>
                <w:lang w:val="en-GB"/>
              </w:rPr>
              <w:t>0,31</w:t>
            </w:r>
          </w:p>
        </w:tc>
        <w:tc>
          <w:tcPr>
            <w:tcW w:w="1980" w:type="dxa"/>
          </w:tcPr>
          <w:p w:rsidR="0097460E" w:rsidRPr="00BD7F4B" w:rsidRDefault="0097460E" w:rsidP="00A36AC9">
            <w:pPr>
              <w:jc w:val="center"/>
              <w:rPr>
                <w:lang w:val="en-GB"/>
              </w:rPr>
            </w:pPr>
            <w:r w:rsidRPr="00BD7F4B">
              <w:rPr>
                <w:lang w:val="en-GB"/>
              </w:rPr>
              <w:t>0,24</w:t>
            </w:r>
          </w:p>
        </w:tc>
        <w:tc>
          <w:tcPr>
            <w:tcW w:w="1800" w:type="dxa"/>
          </w:tcPr>
          <w:p w:rsidR="0097460E" w:rsidRPr="00BD7F4B" w:rsidRDefault="0097460E" w:rsidP="00A36AC9">
            <w:pPr>
              <w:jc w:val="center"/>
              <w:rPr>
                <w:lang w:val="en-GB"/>
              </w:rPr>
            </w:pPr>
            <w:r w:rsidRPr="00BD7F4B">
              <w:rPr>
                <w:lang w:val="en-GB"/>
              </w:rPr>
              <w:t>0,27</w:t>
            </w:r>
          </w:p>
        </w:tc>
      </w:tr>
      <w:tr w:rsidR="0097460E" w:rsidRPr="00BD7F4B">
        <w:tc>
          <w:tcPr>
            <w:tcW w:w="2808" w:type="dxa"/>
          </w:tcPr>
          <w:p w:rsidR="0097460E" w:rsidRPr="00BD7F4B" w:rsidRDefault="0097460E" w:rsidP="00A36AC9">
            <w:pPr>
              <w:jc w:val="center"/>
              <w:rPr>
                <w:lang w:val="en-GB"/>
              </w:rPr>
            </w:pPr>
            <w:r w:rsidRPr="00BD7F4B">
              <w:rPr>
                <w:lang w:val="en-GB"/>
              </w:rPr>
              <w:t>K</w:t>
            </w:r>
            <w:r w:rsidRPr="00BD7F4B">
              <w:rPr>
                <w:vertAlign w:val="subscript"/>
                <w:lang w:val="en-GB"/>
              </w:rPr>
              <w:t>2</w:t>
            </w:r>
            <w:r w:rsidRPr="00BD7F4B">
              <w:rPr>
                <w:lang w:val="en-GB"/>
              </w:rPr>
              <w:t>O</w:t>
            </w:r>
          </w:p>
        </w:tc>
        <w:tc>
          <w:tcPr>
            <w:tcW w:w="2160" w:type="dxa"/>
          </w:tcPr>
          <w:p w:rsidR="0097460E" w:rsidRPr="00BD7F4B" w:rsidRDefault="0097460E" w:rsidP="00A36AC9">
            <w:pPr>
              <w:jc w:val="center"/>
              <w:rPr>
                <w:lang w:val="en-GB"/>
              </w:rPr>
            </w:pPr>
            <w:r w:rsidRPr="00BD7F4B">
              <w:rPr>
                <w:lang w:val="en-GB"/>
              </w:rPr>
              <w:t>0,07</w:t>
            </w:r>
          </w:p>
        </w:tc>
        <w:tc>
          <w:tcPr>
            <w:tcW w:w="1980" w:type="dxa"/>
          </w:tcPr>
          <w:p w:rsidR="0097460E" w:rsidRPr="00BD7F4B" w:rsidRDefault="0097460E" w:rsidP="00A36AC9">
            <w:pPr>
              <w:jc w:val="center"/>
              <w:rPr>
                <w:lang w:val="en-GB"/>
              </w:rPr>
            </w:pPr>
            <w:r w:rsidRPr="00BD7F4B">
              <w:rPr>
                <w:lang w:val="en-GB"/>
              </w:rPr>
              <w:t>0,07</w:t>
            </w:r>
          </w:p>
        </w:tc>
        <w:tc>
          <w:tcPr>
            <w:tcW w:w="1800" w:type="dxa"/>
          </w:tcPr>
          <w:p w:rsidR="0097460E" w:rsidRPr="00BD7F4B" w:rsidRDefault="0097460E" w:rsidP="00A36AC9">
            <w:pPr>
              <w:jc w:val="center"/>
              <w:rPr>
                <w:lang w:val="en-GB"/>
              </w:rPr>
            </w:pPr>
            <w:r w:rsidRPr="00BD7F4B">
              <w:rPr>
                <w:lang w:val="en-GB"/>
              </w:rPr>
              <w:t>0,08</w:t>
            </w:r>
          </w:p>
        </w:tc>
      </w:tr>
      <w:tr w:rsidR="0097460E" w:rsidRPr="00BD7F4B">
        <w:tc>
          <w:tcPr>
            <w:tcW w:w="2808" w:type="dxa"/>
          </w:tcPr>
          <w:p w:rsidR="0097460E" w:rsidRPr="00BD7F4B" w:rsidRDefault="0097460E" w:rsidP="00A36AC9">
            <w:pPr>
              <w:jc w:val="center"/>
              <w:rPr>
                <w:lang w:val="en-GB"/>
              </w:rPr>
            </w:pPr>
            <w:r w:rsidRPr="00BD7F4B">
              <w:rPr>
                <w:lang w:val="en-GB"/>
              </w:rPr>
              <w:t>MgO</w:t>
            </w:r>
          </w:p>
        </w:tc>
        <w:tc>
          <w:tcPr>
            <w:tcW w:w="2160" w:type="dxa"/>
          </w:tcPr>
          <w:p w:rsidR="0097460E" w:rsidRPr="00BD7F4B" w:rsidRDefault="0097460E" w:rsidP="00A36AC9">
            <w:pPr>
              <w:jc w:val="center"/>
              <w:rPr>
                <w:lang w:val="en-GB"/>
              </w:rPr>
            </w:pPr>
            <w:r w:rsidRPr="00BD7F4B">
              <w:rPr>
                <w:lang w:val="en-GB"/>
              </w:rPr>
              <w:t>0,85</w:t>
            </w:r>
          </w:p>
        </w:tc>
        <w:tc>
          <w:tcPr>
            <w:tcW w:w="1980" w:type="dxa"/>
          </w:tcPr>
          <w:p w:rsidR="0097460E" w:rsidRPr="00BD7F4B" w:rsidRDefault="0097460E" w:rsidP="00A36AC9">
            <w:pPr>
              <w:jc w:val="center"/>
              <w:rPr>
                <w:lang w:val="en-GB"/>
              </w:rPr>
            </w:pPr>
            <w:r w:rsidRPr="00BD7F4B">
              <w:rPr>
                <w:lang w:val="en-GB"/>
              </w:rPr>
              <w:t>0,95</w:t>
            </w:r>
          </w:p>
        </w:tc>
        <w:tc>
          <w:tcPr>
            <w:tcW w:w="1800" w:type="dxa"/>
          </w:tcPr>
          <w:p w:rsidR="0097460E" w:rsidRPr="00BD7F4B" w:rsidRDefault="0097460E" w:rsidP="00A36AC9">
            <w:pPr>
              <w:jc w:val="center"/>
              <w:rPr>
                <w:lang w:val="en-GB"/>
              </w:rPr>
            </w:pPr>
            <w:r w:rsidRPr="00BD7F4B">
              <w:rPr>
                <w:lang w:val="en-GB"/>
              </w:rPr>
              <w:t>0,98</w:t>
            </w:r>
          </w:p>
        </w:tc>
      </w:tr>
      <w:tr w:rsidR="0097460E" w:rsidRPr="00BD7F4B">
        <w:tc>
          <w:tcPr>
            <w:tcW w:w="2808" w:type="dxa"/>
          </w:tcPr>
          <w:p w:rsidR="0097460E" w:rsidRPr="00BD7F4B" w:rsidRDefault="0097460E" w:rsidP="00A36AC9">
            <w:pPr>
              <w:jc w:val="center"/>
              <w:rPr>
                <w:vertAlign w:val="subscript"/>
                <w:lang w:val="en-GB"/>
              </w:rPr>
            </w:pPr>
            <w:r w:rsidRPr="00BD7F4B">
              <w:rPr>
                <w:lang w:val="en-GB"/>
              </w:rPr>
              <w:t>MiO</w:t>
            </w:r>
            <w:r w:rsidRPr="00BD7F4B">
              <w:rPr>
                <w:vertAlign w:val="subscript"/>
                <w:lang w:val="en-GB"/>
              </w:rPr>
              <w:t>2</w:t>
            </w:r>
          </w:p>
        </w:tc>
        <w:tc>
          <w:tcPr>
            <w:tcW w:w="2160" w:type="dxa"/>
          </w:tcPr>
          <w:p w:rsidR="0097460E" w:rsidRPr="00BD7F4B" w:rsidRDefault="0097460E" w:rsidP="00A36AC9">
            <w:pPr>
              <w:jc w:val="center"/>
              <w:rPr>
                <w:lang w:val="en-GB"/>
              </w:rPr>
            </w:pPr>
            <w:r w:rsidRPr="00BD7F4B">
              <w:rPr>
                <w:lang w:val="en-GB"/>
              </w:rPr>
              <w:t>0,80</w:t>
            </w:r>
          </w:p>
        </w:tc>
        <w:tc>
          <w:tcPr>
            <w:tcW w:w="1980" w:type="dxa"/>
          </w:tcPr>
          <w:p w:rsidR="0097460E" w:rsidRPr="00BD7F4B" w:rsidRDefault="0097460E" w:rsidP="00A36AC9">
            <w:pPr>
              <w:jc w:val="center"/>
              <w:rPr>
                <w:lang w:val="en-GB"/>
              </w:rPr>
            </w:pPr>
            <w:r w:rsidRPr="00BD7F4B">
              <w:rPr>
                <w:lang w:val="en-GB"/>
              </w:rPr>
              <w:t>0,119</w:t>
            </w:r>
          </w:p>
        </w:tc>
        <w:tc>
          <w:tcPr>
            <w:tcW w:w="1800" w:type="dxa"/>
          </w:tcPr>
          <w:p w:rsidR="0097460E" w:rsidRPr="00BD7F4B" w:rsidRDefault="0097460E" w:rsidP="00A36AC9">
            <w:pPr>
              <w:jc w:val="center"/>
              <w:rPr>
                <w:lang w:val="en-GB"/>
              </w:rPr>
            </w:pPr>
            <w:r w:rsidRPr="00BD7F4B">
              <w:rPr>
                <w:lang w:val="en-GB"/>
              </w:rPr>
              <w:t>0,36</w:t>
            </w:r>
          </w:p>
        </w:tc>
      </w:tr>
      <w:tr w:rsidR="0097460E" w:rsidRPr="00BD7F4B">
        <w:tc>
          <w:tcPr>
            <w:tcW w:w="2808" w:type="dxa"/>
          </w:tcPr>
          <w:p w:rsidR="0097460E" w:rsidRPr="00BD7F4B" w:rsidRDefault="0097460E" w:rsidP="00A36AC9">
            <w:pPr>
              <w:jc w:val="center"/>
              <w:rPr>
                <w:vertAlign w:val="subscript"/>
                <w:lang w:val="en-GB"/>
              </w:rPr>
            </w:pPr>
            <w:r w:rsidRPr="00BD7F4B">
              <w:rPr>
                <w:lang w:val="en-GB"/>
              </w:rPr>
              <w:t>SO</w:t>
            </w:r>
            <w:r w:rsidRPr="00BD7F4B">
              <w:rPr>
                <w:vertAlign w:val="subscript"/>
                <w:lang w:val="en-GB"/>
              </w:rPr>
              <w:t>3</w:t>
            </w:r>
          </w:p>
        </w:tc>
        <w:tc>
          <w:tcPr>
            <w:tcW w:w="2160" w:type="dxa"/>
          </w:tcPr>
          <w:p w:rsidR="0097460E" w:rsidRPr="00BD7F4B" w:rsidRDefault="0097460E" w:rsidP="00A36AC9">
            <w:pPr>
              <w:jc w:val="center"/>
              <w:rPr>
                <w:lang w:val="en-GB"/>
              </w:rPr>
            </w:pPr>
            <w:r w:rsidRPr="00BD7F4B">
              <w:rPr>
                <w:lang w:val="en-GB"/>
              </w:rPr>
              <w:t>1,52</w:t>
            </w:r>
          </w:p>
        </w:tc>
        <w:tc>
          <w:tcPr>
            <w:tcW w:w="1980" w:type="dxa"/>
          </w:tcPr>
          <w:p w:rsidR="0097460E" w:rsidRPr="00BD7F4B" w:rsidRDefault="0097460E" w:rsidP="00A36AC9">
            <w:pPr>
              <w:jc w:val="center"/>
              <w:rPr>
                <w:lang w:val="en-GB"/>
              </w:rPr>
            </w:pPr>
            <w:r w:rsidRPr="00BD7F4B">
              <w:rPr>
                <w:lang w:val="en-GB"/>
              </w:rPr>
              <w:t>1,30</w:t>
            </w:r>
          </w:p>
        </w:tc>
        <w:tc>
          <w:tcPr>
            <w:tcW w:w="1800" w:type="dxa"/>
          </w:tcPr>
          <w:p w:rsidR="0097460E" w:rsidRPr="00BD7F4B" w:rsidRDefault="0097460E" w:rsidP="00A36AC9">
            <w:pPr>
              <w:jc w:val="center"/>
              <w:rPr>
                <w:lang w:val="en-GB"/>
              </w:rPr>
            </w:pPr>
            <w:r w:rsidRPr="00BD7F4B">
              <w:rPr>
                <w:lang w:val="en-GB"/>
              </w:rPr>
              <w:t>1,36</w:t>
            </w:r>
          </w:p>
        </w:tc>
      </w:tr>
      <w:tr w:rsidR="0097460E" w:rsidRPr="00BD7F4B">
        <w:tc>
          <w:tcPr>
            <w:tcW w:w="2808" w:type="dxa"/>
          </w:tcPr>
          <w:p w:rsidR="0097460E" w:rsidRPr="00BD7F4B" w:rsidRDefault="0097460E" w:rsidP="00A36AC9">
            <w:pPr>
              <w:jc w:val="center"/>
              <w:rPr>
                <w:lang w:val="en-GB"/>
              </w:rPr>
            </w:pPr>
            <w:r w:rsidRPr="00BD7F4B">
              <w:rPr>
                <w:lang w:val="en-GB"/>
              </w:rPr>
              <w:t>Cd</w:t>
            </w:r>
          </w:p>
        </w:tc>
        <w:tc>
          <w:tcPr>
            <w:tcW w:w="2160" w:type="dxa"/>
          </w:tcPr>
          <w:p w:rsidR="0097460E" w:rsidRPr="00BD7F4B" w:rsidRDefault="0097460E" w:rsidP="00A36AC9">
            <w:pPr>
              <w:jc w:val="center"/>
              <w:rPr>
                <w:lang w:val="en-GB"/>
              </w:rPr>
            </w:pPr>
            <w:r w:rsidRPr="00BD7F4B">
              <w:rPr>
                <w:lang w:val="en-GB"/>
              </w:rPr>
              <w:t>16,21 ppm</w:t>
            </w:r>
          </w:p>
        </w:tc>
        <w:tc>
          <w:tcPr>
            <w:tcW w:w="1980" w:type="dxa"/>
          </w:tcPr>
          <w:p w:rsidR="0097460E" w:rsidRPr="00BD7F4B" w:rsidRDefault="0097460E" w:rsidP="00A36AC9">
            <w:pPr>
              <w:jc w:val="center"/>
              <w:rPr>
                <w:lang w:val="en-GB"/>
              </w:rPr>
            </w:pPr>
            <w:r w:rsidRPr="00BD7F4B">
              <w:rPr>
                <w:lang w:val="en-GB"/>
              </w:rPr>
              <w:t>16,60 ppm</w:t>
            </w:r>
          </w:p>
        </w:tc>
        <w:tc>
          <w:tcPr>
            <w:tcW w:w="1800" w:type="dxa"/>
          </w:tcPr>
          <w:p w:rsidR="0097460E" w:rsidRPr="00BD7F4B" w:rsidRDefault="0097460E" w:rsidP="00A36AC9">
            <w:pPr>
              <w:jc w:val="center"/>
              <w:rPr>
                <w:lang w:val="en-GB"/>
              </w:rPr>
            </w:pPr>
            <w:r w:rsidRPr="00BD7F4B">
              <w:rPr>
                <w:lang w:val="en-GB"/>
              </w:rPr>
              <w:t>17,0 ppm</w:t>
            </w:r>
          </w:p>
        </w:tc>
      </w:tr>
    </w:tbl>
    <w:p w:rsidR="00BC49E7" w:rsidRPr="00BD7F4B" w:rsidRDefault="00BC49E7" w:rsidP="0095789E">
      <w:pPr>
        <w:tabs>
          <w:tab w:val="center" w:pos="540"/>
        </w:tabs>
        <w:spacing w:before="120" w:after="240"/>
        <w:ind w:firstLine="567"/>
        <w:jc w:val="center"/>
      </w:pPr>
      <w:r w:rsidRPr="00BD7F4B">
        <w:rPr>
          <w:b/>
          <w:bCs/>
        </w:rPr>
        <w:t>Tableau. 3</w:t>
      </w:r>
      <w:r w:rsidR="00050F31" w:rsidRPr="00BD7F4B">
        <w:rPr>
          <w:b/>
          <w:bCs/>
        </w:rPr>
        <w:t> </w:t>
      </w:r>
      <w:r w:rsidR="00A31B5D" w:rsidRPr="00BD7F4B">
        <w:rPr>
          <w:b/>
          <w:bCs/>
        </w:rPr>
        <w:t xml:space="preserve">: </w:t>
      </w:r>
      <w:r w:rsidR="00A31B5D" w:rsidRPr="00BD7F4B">
        <w:t>Compositions</w:t>
      </w:r>
      <w:r w:rsidR="0095789E" w:rsidRPr="00BD7F4B">
        <w:t xml:space="preserve"> </w:t>
      </w:r>
      <w:r w:rsidRPr="00BD7F4B">
        <w:t>chimique</w:t>
      </w:r>
      <w:r w:rsidR="0095789E" w:rsidRPr="00BD7F4B">
        <w:t>s</w:t>
      </w:r>
      <w:r w:rsidRPr="00BD7F4B">
        <w:t xml:space="preserve"> d</w:t>
      </w:r>
      <w:r w:rsidR="0095789E" w:rsidRPr="00BD7F4B">
        <w:t xml:space="preserve">es </w:t>
      </w:r>
      <w:r w:rsidRPr="00BD7F4B">
        <w:t>phosphate</w:t>
      </w:r>
      <w:r w:rsidR="0095789E" w:rsidRPr="00BD7F4B">
        <w:t>s</w:t>
      </w:r>
      <w:r w:rsidRPr="00BD7F4B">
        <w:t xml:space="preserve"> d</w:t>
      </w:r>
      <w:r w:rsidR="0095789E" w:rsidRPr="00BD7F4B">
        <w:t>e Bouchane</w:t>
      </w:r>
      <w:r w:rsidRPr="00BD7F4B">
        <w:t xml:space="preserve"> A, B et D obtenus par ICP</w:t>
      </w:r>
    </w:p>
    <w:p w:rsidR="00272AC4" w:rsidRPr="00BD7F4B" w:rsidRDefault="00272AC4" w:rsidP="00A36AC9">
      <w:pPr>
        <w:tabs>
          <w:tab w:val="center" w:pos="540"/>
        </w:tabs>
        <w:spacing w:before="120" w:after="120"/>
        <w:ind w:firstLine="567"/>
        <w:jc w:val="both"/>
      </w:pPr>
      <w:r w:rsidRPr="00BD7F4B">
        <w:t xml:space="preserve">On constate que la composition chimique du phosphate calciné et celle du phosphate mélangé à chaud est très comparable dans les deux types d’analyses chimiques, à l’exception d’une légère variation admissible de quelques constituants. L’ajout d’une quantité de 33% à un phosphate à </w:t>
      </w:r>
      <w:smartTag w:uri="urn:schemas-microsoft-com:office:smarttags" w:element="metricconverter">
        <w:smartTagPr>
          <w:attr w:name="ProductID" w:val="৹䑀৸lż퍹簸 Ṉͺ픠￘Ḹͺcity=Impesonatio8ų흘ৌෟ䧄ᬄ䡨떳鿤ฒ碑㬀 툜аÀ䘀豸叔鮒쯁ᇓⶌꀀ㟌醵預鲌䂑㭑婩䙐ꎇ籠р傈 㸮魼◕䢘薝칱늨쟸#皘콠ⅅ俶疑鵱ꢜ貉8ĻKerberosord䵌䵅ኀ㠨&#10;ı៼᠘ᢠCG Times (WE)CG Times (WE) &#10;ǋᡌᡦ↸Coronet (WE)Coronet (WE) ǜᘀ&#10;&#10;ǟ᢬ᣈ㲸CG Times (W1)CG Times (W1)Ð&#10;Ǒ&#10;᣼ᤌ뾐CoronetCoronet (W1)ǩ᤼᥮単Albertus Extra Bold (W1)Albertus Extra Bold (W1)Ǹᦴ᧦ᤰAlbertus Extra Bold (WE)Albertus Extra Bold (WE)&#10;ƏᨬᩈGaramond (W1)Garamond (W1)&#10;&#10;Ɓ᩼᪘ᨠGaramond (WE)Garamond (WE)⨸&#10;&#10;ƛᫌ᫨ᩰGaramond (WT)Garamond (WT)Co&#10;&#10;ƭᬜᬸᫀGaramond (WL)Garamond (WL)mo&#10;Ƨ&#10;᭬ᮈᬐLetter GothicLetter Gothic (W1)ƺᯄᯪ᭠Letter Gothic (W1)Letter Gothic (W1)Ŏᰤ᱊᮸Letter Gothic (WE)Letter Gothic (WE)łncalrpcŝᲜ᳂勰Antique Olive (WL)Antique Olive (WL)ő幈৷\œᴌᴚḨOptimaOptima&#10;ũᴼᵘⓨLetter GothicLetter Gothicnt&#10;ţᶌᶢᴰUnivers 55Univers 55&#10;Ż᷌᷶ᶀUnivers 57 CondensedUnivers 57 Condensed&#10;ĈḴṠ᷀StempelGaramond RomanStempelGaramond Romanne&#10;ĞẤỌᴀAntique Olive RomanAntique Olive Roman ( &#10;ēἌἤẘAlbertus MTAlbertus MTes&#10; ĤὔὲἀAlbertus MT LtAlbertus MT Lt&#10;ľᾤῌ靸Helvetica CondensedHelvetica Condenseden&#10;ĳ‌‮ᾘUnivers ExtendedUnivers Extendedǆ⁤₆ Univers 45 LightUnivers 45 LightǙ箈ͼ嘈Ǜ㶤﷘oni&#10;Ǒ噸ሴሴꯍï⌁杅ꮉ崄誈ᳫᇉါ恈te碅&#10;ǫ⅌ⅾ䝐Clarendon Condensed (WE)Clarendon Condensed (WE) Ǻ⇄⇞ᣰCoronet (W1)Coronet (W1) ǳ$Lexmark E330 PS3뻯s Ɗ≄≞⻨Univers (WE)Univers (WE)  ƃ⊌⊦∸Univers (WT)Univers (WT)  Ɣ⋔⋮⊀Univers (WG)Univers (WG)  ƭ⌜⌶⋈Univers (WR)Univers (WR)  Ʀ⍤⍾⌐Univers (WL)Univers (WL)&#10; ƿ&#10;⎬⏐⍘Univers CondensedUnivers Condensed (W1)&#10;Ō␔⑂䖐Univers Condensed (WT)Univers Condensed (WT)ł⒄⒲␈Univers Condensed (WL)Univers Condensed (WL)Ő⓴┈⑸WingdingsWingdingsoŨ溺瞘imaťSecurity=Impersonation Dynamic False◼Ÿ▴◚Hoefler Text BlackHoefler Text BlackČ☔♂▨Hoefler Text OrnamentsHoefler Text OrnamentsĂ⚄⚘☈Joanna MTJoanna MT&#10;Ě⛄⛠♸Lubalin GraphLubalin Graph&#10;Ĭ✔✶⚸NewCenturySchlbkNewCenturySchlbk&#10;ħ❬➖✈Albertus Medium (WL)Albertus Medium (WL)&#10;Ĵ⟔⠆❠Albertus Extra Bold (WL)Albertus Extra Bold (WL)Vǋঔ漊)ࣜ䀀䀀䀀䀀跀 ＞ἠ㴜聱掐掐掐掐掐掐掐掐掐掐掐掐掐掐掐掐掐掐掐掐掐掐掐掐掐掐掐掐掐掐掐掐 ㇐䜐䀀䀀檠掐⎐⪠⪠䀀䣰 ⪠ ⎐䀀䀀䀀䀀䀀䀀䀀䀀䀀䀀⪠⪠䣰䣰䣰䀀檀啠啠啠屰啠啠屰掐㇐䀀啠丰燐屰屰丰屰啠䜰丰屰啠燐啠丰丰⪠⎐⪠䣰䀀⪠䀀䀀㣐䀀㣐⪠䀀䜰⎐⎐䀀⎐掐䜰䀀䀀䀀㇐㇐⎐䜰㣐啠䀀㣐㇐ⲐᰰⲐ䣰掐䀀掐⪠䀀䀀耀䀀䀀⪠耀䜰⪠磐掐丰掐掐⪠⪠䀀䀀Ⳑ䀀耀⪠耀㇐⪠屰掐㇐丰 ㇐䀀䀀䀀䀀ᰰ䀀⪠徠∐䀀䶐⪠徠䀀㌰䙀♠♠⪠䧀䀀 ⪠♠♠䀀怀怀怀䀀啠啠啠啠啠啠磐啠啠啠啠啠㇐㇐㇐㇐屰屰屰屰屰屰屰䣰屰屰屰屰屰丰丰䀀䀀䀀䀀䀀䀀䀀屰㣐㣐㣐㣐㣐⎐⎐⎐⎐䀀䜰䀀䀀䀀䀀䀀䙀䀀䜰䜰䜰䜰㣐䀀㣐˰ࣜܡƻÜW͌งʼ`` ￼ ÿᜀ＞‟ėʘVƑ⸔眹̤ddÿYǿǮ¾¶Ǖƻ&#10;OLIVETTI-9F5167\OndaƳⰌⰲ䃨Century SchoolbookNewCenturySchlbk)ŇⱬⲒᰘLetter Gothic (WT)Letter Gothic (WT)śⳌⳲⱠLetter Gothic (WL)Letter Gothic (WL) ů⴬ⴾⳀMarigoldMarigold (W1)igo&#10; Š⵴ⶐⴠMarigold (W1)Marigold (W1)go&#10;&#10;źⷄⷠ⵨Marigold (WE)Marigold (WE)er&#10;&#10;Č⸔⸰ⶸMarigold (WT)Marigold (WT)U&#10;&#10;Ć⹤⺀⸈Marigold (WL)Marigold (WL)ve&#10;Ę&#10;⺴⻄⹘UniversUnivers (W1)U Đ⻴⼎⺨Univers (W1)Univers (W1) ĩ᱀WG) Ĥ⽔⽲ⰀCentury GothicAvantGarde  Ľ⾜⾼䋠ITC Bookman SWABookman) Ķ⿤⿲㴀MonacoMonacoVǌꪨັଙ戊©䀀䀀䀀䀀İ@＞ἠ㴜聱ÀÀÀÀÀÀÀÀÀÀÀÀÀÀÀÀÀÀÀÀÀÀÀÀÀÀÀÀÀÀÀÀ@PPÐÀ0PP@`@@0@pð° °°°°P`ÀàÀÀÀ °°ð°°P@PPppp@pp0@0°pP`@pp°pp`p0ÀÀP`ĀpPĀPàÀÀÀPP```ĀPĀ`P°À`°@P0PÀPp`À`PPPpp@@PP"/>
        </w:smartTagPr>
        <w:r w:rsidRPr="00BD7F4B">
          <w:t>800°C</w:t>
        </w:r>
      </w:smartTag>
      <w:r w:rsidRPr="00BD7F4B">
        <w:t xml:space="preserve"> n’affecte donc pas, significativement, le produit fini. Toutefois, les propriétés physiques du phosphate mélangé à chaud peuvent être améliorées selon la cinétique de décarbonatation.</w:t>
      </w:r>
    </w:p>
    <w:p w:rsidR="00630126" w:rsidRPr="00BD7F4B" w:rsidRDefault="00630126" w:rsidP="00A36AC9">
      <w:pPr>
        <w:tabs>
          <w:tab w:val="center" w:pos="540"/>
        </w:tabs>
        <w:spacing w:before="120" w:after="120"/>
        <w:jc w:val="both"/>
        <w:rPr>
          <w:b/>
          <w:bCs/>
        </w:rPr>
      </w:pPr>
      <w:r w:rsidRPr="00BD7F4B">
        <w:rPr>
          <w:b/>
          <w:bCs/>
          <w:lang w:bidi="he-IL"/>
        </w:rPr>
        <w:t>5. 3.</w:t>
      </w:r>
      <w:r w:rsidR="00CE0FF4" w:rsidRPr="00BD7F4B">
        <w:rPr>
          <w:b/>
          <w:bCs/>
          <w:lang w:bidi="he-IL"/>
        </w:rPr>
        <w:t xml:space="preserve"> </w:t>
      </w:r>
      <w:r w:rsidR="001A1407" w:rsidRPr="00BD7F4B">
        <w:rPr>
          <w:b/>
          <w:bCs/>
          <w:lang w:bidi="he-IL"/>
        </w:rPr>
        <w:t>Comparaison</w:t>
      </w:r>
      <w:r w:rsidR="00CE0FF4" w:rsidRPr="00BD7F4B">
        <w:rPr>
          <w:b/>
          <w:bCs/>
          <w:lang w:bidi="he-IL"/>
        </w:rPr>
        <w:t xml:space="preserve"> de </w:t>
      </w:r>
      <w:r w:rsidR="00CE0FF4" w:rsidRPr="00BD7F4B">
        <w:rPr>
          <w:b/>
          <w:bCs/>
        </w:rPr>
        <w:t xml:space="preserve">la distribution granulométrique </w:t>
      </w:r>
      <w:r w:rsidR="000A1F73" w:rsidRPr="00BD7F4B">
        <w:rPr>
          <w:b/>
          <w:bCs/>
        </w:rPr>
        <w:t>(Refus %)</w:t>
      </w:r>
      <w:r w:rsidR="00CE0FF4" w:rsidRPr="00BD7F4B">
        <w:rPr>
          <w:b/>
          <w:bCs/>
        </w:rPr>
        <w:t xml:space="preserve"> des diff</w:t>
      </w:r>
      <w:r w:rsidR="0042119D" w:rsidRPr="00BD7F4B">
        <w:rPr>
          <w:b/>
          <w:bCs/>
        </w:rPr>
        <w:t>érents phosphates A, B</w:t>
      </w:r>
      <w:r w:rsidR="000A1F73" w:rsidRPr="00BD7F4B">
        <w:rPr>
          <w:b/>
          <w:bCs/>
        </w:rPr>
        <w:t xml:space="preserve">, C </w:t>
      </w:r>
      <w:r w:rsidR="00CE0FF4" w:rsidRPr="00BD7F4B">
        <w:rPr>
          <w:b/>
          <w:bCs/>
        </w:rPr>
        <w:t>et D</w:t>
      </w:r>
      <w:r w:rsidR="000A1F73" w:rsidRPr="00BD7F4B">
        <w:rPr>
          <w:b/>
          <w:bCs/>
        </w:rPr>
        <w:t>.</w:t>
      </w:r>
    </w:p>
    <w:p w:rsidR="000A1F73" w:rsidRPr="00BD7F4B" w:rsidRDefault="000A1F73" w:rsidP="00D7727A">
      <w:pPr>
        <w:tabs>
          <w:tab w:val="center" w:pos="540"/>
        </w:tabs>
        <w:ind w:firstLine="567"/>
        <w:jc w:val="both"/>
      </w:pPr>
      <w:r w:rsidRPr="00BD7F4B">
        <w:rPr>
          <w:rStyle w:val="hps"/>
        </w:rPr>
        <w:t>La taille des particules</w:t>
      </w:r>
      <w:r w:rsidRPr="00BD7F4B">
        <w:rPr>
          <w:rStyle w:val="longtext"/>
        </w:rPr>
        <w:t xml:space="preserve"> </w:t>
      </w:r>
      <w:r w:rsidRPr="00BD7F4B">
        <w:rPr>
          <w:rStyle w:val="hps"/>
        </w:rPr>
        <w:t>est</w:t>
      </w:r>
      <w:r w:rsidRPr="00BD7F4B">
        <w:rPr>
          <w:rStyle w:val="longtext"/>
        </w:rPr>
        <w:t xml:space="preserve"> l’</w:t>
      </w:r>
      <w:r w:rsidRPr="00BD7F4B">
        <w:rPr>
          <w:rStyle w:val="hps"/>
        </w:rPr>
        <w:t>un des paramètres entrant en jeu dans les opérations de décarbonatation</w:t>
      </w:r>
      <w:r w:rsidRPr="00BD7F4B">
        <w:rPr>
          <w:rStyle w:val="longtext"/>
        </w:rPr>
        <w:t>.</w:t>
      </w:r>
      <w:r w:rsidRPr="00BD7F4B">
        <w:t xml:space="preserve"> Le contrôle de la granulométrie est prometteur puisqu’il permet d’avoir une idée sur le comportement de la matrice minérale en fonction du temps et de la température. L’évolution granulométrique, pendant le traitement thermique, permet de générer des matériaux à propriétés adaptées à la valorisation de la matière et de prévoir leur contribution à la réactivité du produit enrichi. Le tableau. 4 illustre la distribution granulométrique (Refus en %)</w:t>
      </w:r>
      <w:r w:rsidRPr="00BD7F4B">
        <w:rPr>
          <w:b/>
          <w:bCs/>
        </w:rPr>
        <w:t xml:space="preserve"> </w:t>
      </w:r>
      <w:r w:rsidRPr="00BD7F4B">
        <w:t>des différents phosphates A, B, C et D qui en résultent dans les conditions optimales.</w:t>
      </w:r>
    </w:p>
    <w:tbl>
      <w:tblPr>
        <w:tblpPr w:leftFromText="141" w:rightFromText="141" w:vertAnchor="text" w:horzAnchor="margin" w:tblpXSpec="center" w:tblpY="113"/>
        <w:tblW w:w="87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8"/>
        <w:gridCol w:w="720"/>
        <w:gridCol w:w="960"/>
        <w:gridCol w:w="840"/>
        <w:gridCol w:w="960"/>
        <w:gridCol w:w="960"/>
        <w:gridCol w:w="960"/>
        <w:gridCol w:w="840"/>
        <w:gridCol w:w="960"/>
      </w:tblGrid>
      <w:tr w:rsidR="000A1F73" w:rsidRPr="00BD7F4B">
        <w:trPr>
          <w:trHeight w:val="363"/>
        </w:trPr>
        <w:tc>
          <w:tcPr>
            <w:tcW w:w="1548" w:type="dxa"/>
          </w:tcPr>
          <w:p w:rsidR="000A1F73" w:rsidRPr="00BD7F4B" w:rsidRDefault="000A1F73" w:rsidP="00A36AC9">
            <w:pPr>
              <w:jc w:val="center"/>
            </w:pPr>
            <w:r w:rsidRPr="00BD7F4B">
              <w:t>Maille (</w:t>
            </w:r>
            <w:r w:rsidRPr="00BD7F4B">
              <w:sym w:font="Symbol" w:char="F06D"/>
            </w:r>
            <w:r w:rsidRPr="00BD7F4B">
              <w:t>m)</w:t>
            </w:r>
          </w:p>
        </w:tc>
        <w:tc>
          <w:tcPr>
            <w:tcW w:w="720" w:type="dxa"/>
          </w:tcPr>
          <w:p w:rsidR="000A1F73" w:rsidRPr="00BD7F4B" w:rsidRDefault="000A1F73" w:rsidP="00A36AC9">
            <w:pPr>
              <w:jc w:val="center"/>
            </w:pPr>
            <w:r w:rsidRPr="00BD7F4B">
              <w:t>500</w:t>
            </w:r>
            <w:r w:rsidRPr="00BD7F4B">
              <w:sym w:font="Symbol" w:char="F03C"/>
            </w:r>
          </w:p>
        </w:tc>
        <w:tc>
          <w:tcPr>
            <w:tcW w:w="960" w:type="dxa"/>
          </w:tcPr>
          <w:p w:rsidR="000A1F73" w:rsidRPr="00BD7F4B" w:rsidRDefault="000A1F73" w:rsidP="00A36AC9">
            <w:pPr>
              <w:jc w:val="center"/>
            </w:pPr>
            <w:r w:rsidRPr="00BD7F4B">
              <w:t>350</w:t>
            </w:r>
          </w:p>
        </w:tc>
        <w:tc>
          <w:tcPr>
            <w:tcW w:w="840" w:type="dxa"/>
          </w:tcPr>
          <w:p w:rsidR="000A1F73" w:rsidRPr="00BD7F4B" w:rsidRDefault="000A1F73" w:rsidP="00A36AC9">
            <w:pPr>
              <w:jc w:val="center"/>
            </w:pPr>
            <w:r w:rsidRPr="00BD7F4B">
              <w:t>250</w:t>
            </w:r>
          </w:p>
        </w:tc>
        <w:tc>
          <w:tcPr>
            <w:tcW w:w="960" w:type="dxa"/>
          </w:tcPr>
          <w:p w:rsidR="000A1F73" w:rsidRPr="00BD7F4B" w:rsidRDefault="000A1F73" w:rsidP="00A36AC9">
            <w:pPr>
              <w:jc w:val="center"/>
            </w:pPr>
            <w:r w:rsidRPr="00BD7F4B">
              <w:t>200</w:t>
            </w:r>
          </w:p>
        </w:tc>
        <w:tc>
          <w:tcPr>
            <w:tcW w:w="960" w:type="dxa"/>
          </w:tcPr>
          <w:p w:rsidR="000A1F73" w:rsidRPr="00BD7F4B" w:rsidRDefault="000A1F73" w:rsidP="00A36AC9">
            <w:pPr>
              <w:jc w:val="center"/>
            </w:pPr>
            <w:r w:rsidRPr="00BD7F4B">
              <w:t>160</w:t>
            </w:r>
          </w:p>
        </w:tc>
        <w:tc>
          <w:tcPr>
            <w:tcW w:w="960" w:type="dxa"/>
          </w:tcPr>
          <w:p w:rsidR="000A1F73" w:rsidRPr="00BD7F4B" w:rsidRDefault="000A1F73" w:rsidP="00A36AC9">
            <w:pPr>
              <w:jc w:val="center"/>
            </w:pPr>
            <w:r w:rsidRPr="00BD7F4B">
              <w:t>80</w:t>
            </w:r>
          </w:p>
        </w:tc>
        <w:tc>
          <w:tcPr>
            <w:tcW w:w="840" w:type="dxa"/>
          </w:tcPr>
          <w:p w:rsidR="000A1F73" w:rsidRPr="00BD7F4B" w:rsidRDefault="000A1F73" w:rsidP="00A36AC9">
            <w:pPr>
              <w:jc w:val="center"/>
            </w:pPr>
            <w:r w:rsidRPr="00BD7F4B">
              <w:t>40</w:t>
            </w:r>
          </w:p>
        </w:tc>
        <w:tc>
          <w:tcPr>
            <w:tcW w:w="960" w:type="dxa"/>
          </w:tcPr>
          <w:p w:rsidR="000A1F73" w:rsidRPr="00BD7F4B" w:rsidRDefault="000A1F73" w:rsidP="00A36AC9">
            <w:pPr>
              <w:jc w:val="center"/>
            </w:pPr>
            <w:r w:rsidRPr="00BD7F4B">
              <w:sym w:font="Symbol" w:char="F03C"/>
            </w:r>
            <w:r w:rsidRPr="00BD7F4B">
              <w:t xml:space="preserve"> 40</w:t>
            </w:r>
          </w:p>
        </w:tc>
      </w:tr>
      <w:tr w:rsidR="000A1F73" w:rsidRPr="00BD7F4B">
        <w:tc>
          <w:tcPr>
            <w:tcW w:w="1548" w:type="dxa"/>
          </w:tcPr>
          <w:p w:rsidR="000A1F73" w:rsidRPr="00BD7F4B" w:rsidRDefault="000A1F73" w:rsidP="00A36AC9">
            <w:pPr>
              <w:jc w:val="center"/>
            </w:pPr>
            <w:r w:rsidRPr="00BD7F4B">
              <w:t>A</w:t>
            </w:r>
          </w:p>
        </w:tc>
        <w:tc>
          <w:tcPr>
            <w:tcW w:w="720" w:type="dxa"/>
          </w:tcPr>
          <w:p w:rsidR="000A1F73" w:rsidRPr="00BD7F4B" w:rsidRDefault="000A1F73" w:rsidP="00A36AC9">
            <w:pPr>
              <w:keepNext/>
              <w:jc w:val="center"/>
            </w:pPr>
            <w:r w:rsidRPr="00BD7F4B">
              <w:t>0</w:t>
            </w:r>
          </w:p>
        </w:tc>
        <w:tc>
          <w:tcPr>
            <w:tcW w:w="960" w:type="dxa"/>
          </w:tcPr>
          <w:p w:rsidR="000A1F73" w:rsidRPr="00BD7F4B" w:rsidRDefault="000A1F73" w:rsidP="00A36AC9">
            <w:pPr>
              <w:keepNext/>
              <w:jc w:val="center"/>
            </w:pPr>
            <w:r w:rsidRPr="00BD7F4B">
              <w:t>37,66</w:t>
            </w:r>
          </w:p>
        </w:tc>
        <w:tc>
          <w:tcPr>
            <w:tcW w:w="840" w:type="dxa"/>
          </w:tcPr>
          <w:p w:rsidR="000A1F73" w:rsidRPr="00BD7F4B" w:rsidRDefault="000A1F73" w:rsidP="00A36AC9">
            <w:pPr>
              <w:keepNext/>
              <w:jc w:val="center"/>
            </w:pPr>
            <w:r w:rsidRPr="00BD7F4B">
              <w:t>24,75</w:t>
            </w:r>
          </w:p>
        </w:tc>
        <w:tc>
          <w:tcPr>
            <w:tcW w:w="960" w:type="dxa"/>
          </w:tcPr>
          <w:p w:rsidR="000A1F73" w:rsidRPr="00BD7F4B" w:rsidRDefault="000A1F73" w:rsidP="00A36AC9">
            <w:pPr>
              <w:keepNext/>
              <w:jc w:val="center"/>
            </w:pPr>
            <w:r w:rsidRPr="00BD7F4B">
              <w:t>15,85</w:t>
            </w:r>
          </w:p>
        </w:tc>
        <w:tc>
          <w:tcPr>
            <w:tcW w:w="960" w:type="dxa"/>
          </w:tcPr>
          <w:p w:rsidR="000A1F73" w:rsidRPr="00BD7F4B" w:rsidRDefault="000A1F73" w:rsidP="00A36AC9">
            <w:pPr>
              <w:keepNext/>
              <w:jc w:val="center"/>
            </w:pPr>
            <w:r w:rsidRPr="00BD7F4B">
              <w:t>9,98</w:t>
            </w:r>
          </w:p>
        </w:tc>
        <w:tc>
          <w:tcPr>
            <w:tcW w:w="960" w:type="dxa"/>
          </w:tcPr>
          <w:p w:rsidR="000A1F73" w:rsidRPr="00BD7F4B" w:rsidRDefault="000A1F73" w:rsidP="00A36AC9">
            <w:pPr>
              <w:keepNext/>
              <w:jc w:val="center"/>
            </w:pPr>
            <w:r w:rsidRPr="00BD7F4B">
              <w:t>9,88</w:t>
            </w:r>
          </w:p>
        </w:tc>
        <w:tc>
          <w:tcPr>
            <w:tcW w:w="840" w:type="dxa"/>
          </w:tcPr>
          <w:p w:rsidR="000A1F73" w:rsidRPr="00BD7F4B" w:rsidRDefault="000A1F73" w:rsidP="00A36AC9">
            <w:pPr>
              <w:keepNext/>
              <w:jc w:val="center"/>
            </w:pPr>
            <w:r w:rsidRPr="00BD7F4B">
              <w:t>1,88</w:t>
            </w:r>
          </w:p>
        </w:tc>
        <w:tc>
          <w:tcPr>
            <w:tcW w:w="960" w:type="dxa"/>
          </w:tcPr>
          <w:p w:rsidR="000A1F73" w:rsidRPr="00BD7F4B" w:rsidRDefault="000A1F73" w:rsidP="00A36AC9">
            <w:pPr>
              <w:keepNext/>
              <w:jc w:val="center"/>
            </w:pPr>
            <w:r w:rsidRPr="00BD7F4B">
              <w:t>0</w:t>
            </w:r>
          </w:p>
        </w:tc>
      </w:tr>
      <w:tr w:rsidR="000A1F73" w:rsidRPr="00BD7F4B">
        <w:tc>
          <w:tcPr>
            <w:tcW w:w="1548" w:type="dxa"/>
          </w:tcPr>
          <w:p w:rsidR="000A1F73" w:rsidRPr="00BD7F4B" w:rsidRDefault="000A1F73" w:rsidP="00A36AC9">
            <w:pPr>
              <w:jc w:val="center"/>
            </w:pPr>
            <w:r w:rsidRPr="00BD7F4B">
              <w:t>B</w:t>
            </w:r>
          </w:p>
        </w:tc>
        <w:tc>
          <w:tcPr>
            <w:tcW w:w="720" w:type="dxa"/>
          </w:tcPr>
          <w:p w:rsidR="000A1F73" w:rsidRPr="00BD7F4B" w:rsidRDefault="000A1F73" w:rsidP="00A36AC9">
            <w:pPr>
              <w:jc w:val="center"/>
            </w:pPr>
            <w:r w:rsidRPr="00BD7F4B">
              <w:t>0</w:t>
            </w:r>
          </w:p>
        </w:tc>
        <w:tc>
          <w:tcPr>
            <w:tcW w:w="960" w:type="dxa"/>
          </w:tcPr>
          <w:p w:rsidR="000A1F73" w:rsidRPr="00BD7F4B" w:rsidRDefault="000A1F73" w:rsidP="00A36AC9">
            <w:pPr>
              <w:jc w:val="center"/>
            </w:pPr>
            <w:r w:rsidRPr="00BD7F4B">
              <w:t>31,27</w:t>
            </w:r>
          </w:p>
        </w:tc>
        <w:tc>
          <w:tcPr>
            <w:tcW w:w="840" w:type="dxa"/>
          </w:tcPr>
          <w:p w:rsidR="000A1F73" w:rsidRPr="00BD7F4B" w:rsidRDefault="000A1F73" w:rsidP="00A36AC9">
            <w:pPr>
              <w:jc w:val="center"/>
            </w:pPr>
            <w:r w:rsidRPr="00BD7F4B">
              <w:t>26,21</w:t>
            </w:r>
          </w:p>
        </w:tc>
        <w:tc>
          <w:tcPr>
            <w:tcW w:w="960" w:type="dxa"/>
          </w:tcPr>
          <w:p w:rsidR="000A1F73" w:rsidRPr="00BD7F4B" w:rsidRDefault="000A1F73" w:rsidP="00A36AC9">
            <w:pPr>
              <w:jc w:val="center"/>
            </w:pPr>
            <w:r w:rsidRPr="00BD7F4B">
              <w:t>20,20</w:t>
            </w:r>
          </w:p>
        </w:tc>
        <w:tc>
          <w:tcPr>
            <w:tcW w:w="960" w:type="dxa"/>
          </w:tcPr>
          <w:p w:rsidR="000A1F73" w:rsidRPr="00BD7F4B" w:rsidRDefault="000A1F73" w:rsidP="00A36AC9">
            <w:pPr>
              <w:jc w:val="center"/>
            </w:pPr>
            <w:r w:rsidRPr="00BD7F4B">
              <w:t>11,30</w:t>
            </w:r>
          </w:p>
        </w:tc>
        <w:tc>
          <w:tcPr>
            <w:tcW w:w="960" w:type="dxa"/>
          </w:tcPr>
          <w:p w:rsidR="000A1F73" w:rsidRPr="00BD7F4B" w:rsidRDefault="000A1F73" w:rsidP="00A36AC9">
            <w:pPr>
              <w:jc w:val="center"/>
            </w:pPr>
            <w:r w:rsidRPr="00BD7F4B">
              <w:t>8,56</w:t>
            </w:r>
          </w:p>
        </w:tc>
        <w:tc>
          <w:tcPr>
            <w:tcW w:w="840" w:type="dxa"/>
          </w:tcPr>
          <w:p w:rsidR="000A1F73" w:rsidRPr="00BD7F4B" w:rsidRDefault="000A1F73" w:rsidP="00A36AC9">
            <w:pPr>
              <w:jc w:val="center"/>
            </w:pPr>
            <w:r w:rsidRPr="00BD7F4B">
              <w:t>1,43</w:t>
            </w:r>
          </w:p>
        </w:tc>
        <w:tc>
          <w:tcPr>
            <w:tcW w:w="960" w:type="dxa"/>
          </w:tcPr>
          <w:p w:rsidR="000A1F73" w:rsidRPr="00BD7F4B" w:rsidRDefault="000A1F73" w:rsidP="00A36AC9">
            <w:pPr>
              <w:jc w:val="center"/>
            </w:pPr>
            <w:r w:rsidRPr="00BD7F4B">
              <w:t>0,03</w:t>
            </w:r>
          </w:p>
        </w:tc>
      </w:tr>
      <w:tr w:rsidR="000A1F73" w:rsidRPr="00BD7F4B">
        <w:tc>
          <w:tcPr>
            <w:tcW w:w="1548" w:type="dxa"/>
          </w:tcPr>
          <w:p w:rsidR="000A1F73" w:rsidRPr="00BD7F4B" w:rsidRDefault="000A1F73" w:rsidP="00A36AC9">
            <w:pPr>
              <w:jc w:val="center"/>
            </w:pPr>
            <w:r w:rsidRPr="00BD7F4B">
              <w:t>C</w:t>
            </w:r>
          </w:p>
        </w:tc>
        <w:tc>
          <w:tcPr>
            <w:tcW w:w="720" w:type="dxa"/>
          </w:tcPr>
          <w:p w:rsidR="000A1F73" w:rsidRPr="00BD7F4B" w:rsidRDefault="000A1F73" w:rsidP="00A36AC9">
            <w:pPr>
              <w:jc w:val="center"/>
            </w:pPr>
            <w:r w:rsidRPr="00BD7F4B">
              <w:t>0</w:t>
            </w:r>
          </w:p>
        </w:tc>
        <w:tc>
          <w:tcPr>
            <w:tcW w:w="960" w:type="dxa"/>
          </w:tcPr>
          <w:p w:rsidR="000A1F73" w:rsidRPr="00BD7F4B" w:rsidRDefault="000A1F73" w:rsidP="00A36AC9">
            <w:pPr>
              <w:jc w:val="center"/>
            </w:pPr>
            <w:r w:rsidRPr="00BD7F4B">
              <w:t>33,66</w:t>
            </w:r>
          </w:p>
        </w:tc>
        <w:tc>
          <w:tcPr>
            <w:tcW w:w="840" w:type="dxa"/>
          </w:tcPr>
          <w:p w:rsidR="000A1F73" w:rsidRPr="00BD7F4B" w:rsidRDefault="000A1F73" w:rsidP="00A36AC9">
            <w:pPr>
              <w:jc w:val="center"/>
            </w:pPr>
            <w:r w:rsidRPr="00BD7F4B">
              <w:t>28,34</w:t>
            </w:r>
          </w:p>
        </w:tc>
        <w:tc>
          <w:tcPr>
            <w:tcW w:w="960" w:type="dxa"/>
          </w:tcPr>
          <w:p w:rsidR="000A1F73" w:rsidRPr="00BD7F4B" w:rsidRDefault="000A1F73" w:rsidP="00A36AC9">
            <w:pPr>
              <w:jc w:val="center"/>
            </w:pPr>
            <w:r w:rsidRPr="00BD7F4B">
              <w:t>19,38</w:t>
            </w:r>
          </w:p>
        </w:tc>
        <w:tc>
          <w:tcPr>
            <w:tcW w:w="960" w:type="dxa"/>
          </w:tcPr>
          <w:p w:rsidR="000A1F73" w:rsidRPr="00BD7F4B" w:rsidRDefault="000A1F73" w:rsidP="00A36AC9">
            <w:pPr>
              <w:jc w:val="center"/>
            </w:pPr>
            <w:r w:rsidRPr="00BD7F4B">
              <w:t>10,58</w:t>
            </w:r>
          </w:p>
        </w:tc>
        <w:tc>
          <w:tcPr>
            <w:tcW w:w="960" w:type="dxa"/>
          </w:tcPr>
          <w:p w:rsidR="000A1F73" w:rsidRPr="00BD7F4B" w:rsidRDefault="000A1F73" w:rsidP="00A36AC9">
            <w:pPr>
              <w:jc w:val="center"/>
            </w:pPr>
            <w:r w:rsidRPr="00BD7F4B">
              <w:t>6,52</w:t>
            </w:r>
          </w:p>
        </w:tc>
        <w:tc>
          <w:tcPr>
            <w:tcW w:w="840" w:type="dxa"/>
          </w:tcPr>
          <w:p w:rsidR="000A1F73" w:rsidRPr="00BD7F4B" w:rsidRDefault="000A1F73" w:rsidP="00A36AC9">
            <w:pPr>
              <w:jc w:val="center"/>
            </w:pPr>
            <w:r w:rsidRPr="00BD7F4B">
              <w:t>1,47</w:t>
            </w:r>
          </w:p>
        </w:tc>
        <w:tc>
          <w:tcPr>
            <w:tcW w:w="960" w:type="dxa"/>
          </w:tcPr>
          <w:p w:rsidR="000A1F73" w:rsidRPr="00BD7F4B" w:rsidRDefault="000A1F73" w:rsidP="00A36AC9">
            <w:pPr>
              <w:jc w:val="center"/>
            </w:pPr>
            <w:r w:rsidRPr="00BD7F4B">
              <w:t>0,05</w:t>
            </w:r>
          </w:p>
        </w:tc>
      </w:tr>
      <w:tr w:rsidR="000A1F73" w:rsidRPr="00BD7F4B">
        <w:tc>
          <w:tcPr>
            <w:tcW w:w="1548" w:type="dxa"/>
          </w:tcPr>
          <w:p w:rsidR="000A1F73" w:rsidRPr="00BD7F4B" w:rsidRDefault="000A1F73" w:rsidP="00A36AC9">
            <w:pPr>
              <w:jc w:val="center"/>
            </w:pPr>
            <w:r w:rsidRPr="00BD7F4B">
              <w:t>D</w:t>
            </w:r>
          </w:p>
        </w:tc>
        <w:tc>
          <w:tcPr>
            <w:tcW w:w="720" w:type="dxa"/>
          </w:tcPr>
          <w:p w:rsidR="000A1F73" w:rsidRPr="00BD7F4B" w:rsidRDefault="000A1F73" w:rsidP="00A36AC9">
            <w:pPr>
              <w:jc w:val="center"/>
            </w:pPr>
            <w:r w:rsidRPr="00BD7F4B">
              <w:t>0</w:t>
            </w:r>
          </w:p>
        </w:tc>
        <w:tc>
          <w:tcPr>
            <w:tcW w:w="960" w:type="dxa"/>
          </w:tcPr>
          <w:p w:rsidR="000A1F73" w:rsidRPr="00BD7F4B" w:rsidRDefault="000A1F73" w:rsidP="00A36AC9">
            <w:pPr>
              <w:jc w:val="center"/>
            </w:pPr>
            <w:r w:rsidRPr="00BD7F4B">
              <w:t>33,15</w:t>
            </w:r>
          </w:p>
        </w:tc>
        <w:tc>
          <w:tcPr>
            <w:tcW w:w="840" w:type="dxa"/>
          </w:tcPr>
          <w:p w:rsidR="000A1F73" w:rsidRPr="00BD7F4B" w:rsidRDefault="000A1F73" w:rsidP="00A36AC9">
            <w:pPr>
              <w:jc w:val="center"/>
            </w:pPr>
            <w:r w:rsidRPr="00BD7F4B">
              <w:t>27,41</w:t>
            </w:r>
          </w:p>
        </w:tc>
        <w:tc>
          <w:tcPr>
            <w:tcW w:w="960" w:type="dxa"/>
          </w:tcPr>
          <w:p w:rsidR="000A1F73" w:rsidRPr="00BD7F4B" w:rsidRDefault="000A1F73" w:rsidP="00A36AC9">
            <w:pPr>
              <w:jc w:val="center"/>
            </w:pPr>
            <w:r w:rsidRPr="00BD7F4B">
              <w:t>20,32</w:t>
            </w:r>
          </w:p>
        </w:tc>
        <w:tc>
          <w:tcPr>
            <w:tcW w:w="960" w:type="dxa"/>
          </w:tcPr>
          <w:p w:rsidR="000A1F73" w:rsidRPr="00BD7F4B" w:rsidRDefault="000A1F73" w:rsidP="00A36AC9">
            <w:pPr>
              <w:jc w:val="center"/>
            </w:pPr>
            <w:r w:rsidRPr="00BD7F4B">
              <w:t>12,16</w:t>
            </w:r>
          </w:p>
        </w:tc>
        <w:tc>
          <w:tcPr>
            <w:tcW w:w="960" w:type="dxa"/>
          </w:tcPr>
          <w:p w:rsidR="000A1F73" w:rsidRPr="00BD7F4B" w:rsidRDefault="000A1F73" w:rsidP="00A36AC9">
            <w:pPr>
              <w:jc w:val="center"/>
            </w:pPr>
            <w:r w:rsidRPr="00BD7F4B">
              <w:t>5,71</w:t>
            </w:r>
          </w:p>
        </w:tc>
        <w:tc>
          <w:tcPr>
            <w:tcW w:w="840" w:type="dxa"/>
          </w:tcPr>
          <w:p w:rsidR="000A1F73" w:rsidRPr="00BD7F4B" w:rsidRDefault="000A1F73" w:rsidP="00A36AC9">
            <w:pPr>
              <w:jc w:val="center"/>
            </w:pPr>
            <w:r w:rsidRPr="00BD7F4B">
              <w:t>1,18</w:t>
            </w:r>
          </w:p>
        </w:tc>
        <w:tc>
          <w:tcPr>
            <w:tcW w:w="960" w:type="dxa"/>
          </w:tcPr>
          <w:p w:rsidR="000A1F73" w:rsidRPr="00BD7F4B" w:rsidRDefault="000A1F73" w:rsidP="00A36AC9">
            <w:pPr>
              <w:jc w:val="center"/>
            </w:pPr>
            <w:r w:rsidRPr="00BD7F4B">
              <w:t>0,07</w:t>
            </w:r>
          </w:p>
        </w:tc>
      </w:tr>
    </w:tbl>
    <w:p w:rsidR="00CE0FF4" w:rsidRPr="00BD7F4B" w:rsidRDefault="00CE0FF4" w:rsidP="007D4344">
      <w:pPr>
        <w:spacing w:before="240" w:after="240"/>
        <w:jc w:val="center"/>
      </w:pPr>
      <w:r w:rsidRPr="00BD7F4B">
        <w:rPr>
          <w:b/>
          <w:bCs/>
        </w:rPr>
        <w:t>Tableau</w:t>
      </w:r>
      <w:r w:rsidR="008B45A2" w:rsidRPr="00BD7F4B">
        <w:rPr>
          <w:b/>
          <w:bCs/>
        </w:rPr>
        <w:t>. 4</w:t>
      </w:r>
      <w:r w:rsidR="00A31B5D" w:rsidRPr="00BD7F4B">
        <w:rPr>
          <w:b/>
          <w:bCs/>
        </w:rPr>
        <w:t> :</w:t>
      </w:r>
      <w:r w:rsidRPr="00BD7F4B">
        <w:rPr>
          <w:b/>
          <w:bCs/>
        </w:rPr>
        <w:t xml:space="preserve"> </w:t>
      </w:r>
      <w:r w:rsidRPr="00BD7F4B">
        <w:t xml:space="preserve">Distribution granulométrique </w:t>
      </w:r>
      <w:r w:rsidRPr="00BD7F4B">
        <w:rPr>
          <w:b/>
          <w:bCs/>
        </w:rPr>
        <w:t>[</w:t>
      </w:r>
      <w:r w:rsidRPr="00BD7F4B">
        <w:t>Refus (%)</w:t>
      </w:r>
      <w:r w:rsidRPr="00BD7F4B">
        <w:rPr>
          <w:b/>
          <w:bCs/>
        </w:rPr>
        <w:t>]</w:t>
      </w:r>
      <w:r w:rsidRPr="00BD7F4B">
        <w:t xml:space="preserve"> du minerai de phosphate d</w:t>
      </w:r>
      <w:r w:rsidR="007D4344" w:rsidRPr="00BD7F4B">
        <w:t>e Bouchane</w:t>
      </w:r>
    </w:p>
    <w:p w:rsidR="000F0E55" w:rsidRPr="00BD7F4B" w:rsidRDefault="000F0E55" w:rsidP="00A36AC9">
      <w:pPr>
        <w:ind w:firstLine="567"/>
        <w:jc w:val="both"/>
        <w:rPr>
          <w:rStyle w:val="longtext"/>
        </w:rPr>
      </w:pPr>
      <w:r w:rsidRPr="00BD7F4B">
        <w:t>La présente étude a montré que la majeure partie de la masse globale du phosphate calciné et celle provenant par mélange à chaud se concentre dans la tranche 160 – 350 μm (prés de 93%). Cette distribution granulométrique est optimale et permet d’</w:t>
      </w:r>
      <w:r w:rsidRPr="00BD7F4B">
        <w:rPr>
          <w:rStyle w:val="longtext"/>
          <w:shd w:val="clear" w:color="auto" w:fill="FFFFFF"/>
        </w:rPr>
        <w:t xml:space="preserve">accroître la performance </w:t>
      </w:r>
      <w:r w:rsidRPr="00BD7F4B">
        <w:t>de l’attaque du phosphate par acide (</w:t>
      </w:r>
      <w:r w:rsidR="00050F31" w:rsidRPr="00BD7F4B">
        <w:rPr>
          <w:b/>
          <w:bCs/>
        </w:rPr>
        <w:t>Tab</w:t>
      </w:r>
      <w:r w:rsidRPr="00BD7F4B">
        <w:rPr>
          <w:b/>
          <w:bCs/>
        </w:rPr>
        <w:t>.</w:t>
      </w:r>
      <w:r w:rsidR="00050F31" w:rsidRPr="00BD7F4B">
        <w:rPr>
          <w:b/>
          <w:bCs/>
        </w:rPr>
        <w:t xml:space="preserve"> </w:t>
      </w:r>
      <w:r w:rsidRPr="00BD7F4B">
        <w:rPr>
          <w:b/>
          <w:bCs/>
        </w:rPr>
        <w:t>4</w:t>
      </w:r>
      <w:r w:rsidRPr="00BD7F4B">
        <w:t xml:space="preserve">). Les fines qui provoquent une augmentation de la température de la bouillie lors de l’attaque, ont une quantité moindre dans le phosphate mélangé à chaud. Par conséquent, lors de la décarbonatation des fines, celles-ci peuvent s’agglutiner et se coller sur les gros grains. Cela provoque une augmentation de la surface spécifique et de la porosité avec une diminution de la densité; il apparaît clairement que la réactivité du phosphate traité par mélange à chaud augmente. En outre, le dernier mélange affecte </w:t>
      </w:r>
      <w:r w:rsidRPr="00BD7F4B">
        <w:rPr>
          <w:rStyle w:val="hps"/>
        </w:rPr>
        <w:t>la distribution</w:t>
      </w:r>
      <w:r w:rsidRPr="00BD7F4B">
        <w:rPr>
          <w:rStyle w:val="longtext"/>
        </w:rPr>
        <w:t xml:space="preserve"> </w:t>
      </w:r>
      <w:r w:rsidRPr="00BD7F4B">
        <w:rPr>
          <w:rStyle w:val="hps"/>
        </w:rPr>
        <w:t>des pores avec l’accroissement de la proportion de</w:t>
      </w:r>
      <w:r w:rsidRPr="00BD7F4B">
        <w:rPr>
          <w:rStyle w:val="longtext"/>
        </w:rPr>
        <w:t xml:space="preserve"> </w:t>
      </w:r>
      <w:r w:rsidRPr="00BD7F4B">
        <w:rPr>
          <w:rStyle w:val="hps"/>
        </w:rPr>
        <w:t>macro-pores</w:t>
      </w:r>
      <w:r w:rsidRPr="00BD7F4B">
        <w:rPr>
          <w:rStyle w:val="longtext"/>
        </w:rPr>
        <w:t xml:space="preserve"> </w:t>
      </w:r>
      <w:r w:rsidRPr="00BD7F4B">
        <w:rPr>
          <w:rStyle w:val="hps"/>
        </w:rPr>
        <w:t>et</w:t>
      </w:r>
      <w:r w:rsidRPr="00BD7F4B">
        <w:rPr>
          <w:rStyle w:val="longtext"/>
        </w:rPr>
        <w:t xml:space="preserve"> la </w:t>
      </w:r>
      <w:r w:rsidRPr="00BD7F4B">
        <w:rPr>
          <w:rStyle w:val="hps"/>
        </w:rPr>
        <w:t>diminution des</w:t>
      </w:r>
      <w:r w:rsidRPr="00BD7F4B">
        <w:rPr>
          <w:rStyle w:val="longtext"/>
        </w:rPr>
        <w:t xml:space="preserve"> </w:t>
      </w:r>
      <w:r w:rsidRPr="00BD7F4B">
        <w:rPr>
          <w:rStyle w:val="hps"/>
        </w:rPr>
        <w:t>micro-pores</w:t>
      </w:r>
      <w:r w:rsidRPr="00BD7F4B">
        <w:rPr>
          <w:rStyle w:val="longtext"/>
        </w:rPr>
        <w:t>.</w:t>
      </w:r>
    </w:p>
    <w:p w:rsidR="008F0B1E" w:rsidRPr="00BD7F4B" w:rsidRDefault="008F0B1E" w:rsidP="00A36AC9">
      <w:pPr>
        <w:spacing w:before="120" w:after="120"/>
        <w:ind w:firstLine="17"/>
        <w:jc w:val="both"/>
        <w:rPr>
          <w:b/>
          <w:bCs/>
        </w:rPr>
      </w:pPr>
      <w:r w:rsidRPr="00BD7F4B">
        <w:rPr>
          <w:b/>
          <w:bCs/>
          <w:lang w:bidi="he-IL"/>
        </w:rPr>
        <w:t xml:space="preserve">5. 4. Cinétique </w:t>
      </w:r>
      <w:r w:rsidR="00CE0FF4" w:rsidRPr="00BD7F4B">
        <w:rPr>
          <w:b/>
          <w:bCs/>
          <w:lang w:bidi="he-IL"/>
        </w:rPr>
        <w:t xml:space="preserve">du séchage </w:t>
      </w:r>
      <w:r w:rsidR="00CE0FF4" w:rsidRPr="00BD7F4B">
        <w:rPr>
          <w:b/>
          <w:bCs/>
        </w:rPr>
        <w:t>des</w:t>
      </w:r>
      <w:r w:rsidR="00E83437" w:rsidRPr="00BD7F4B">
        <w:rPr>
          <w:b/>
          <w:bCs/>
        </w:rPr>
        <w:t xml:space="preserve"> différents phosphates A</w:t>
      </w:r>
      <w:r w:rsidR="00F816C7" w:rsidRPr="00BD7F4B">
        <w:rPr>
          <w:b/>
          <w:bCs/>
        </w:rPr>
        <w:t>, B</w:t>
      </w:r>
      <w:r w:rsidR="00E83437" w:rsidRPr="00BD7F4B">
        <w:rPr>
          <w:b/>
          <w:bCs/>
        </w:rPr>
        <w:t>, C</w:t>
      </w:r>
      <w:r w:rsidR="00CE0FF4" w:rsidRPr="00BD7F4B">
        <w:rPr>
          <w:b/>
          <w:bCs/>
        </w:rPr>
        <w:t xml:space="preserve"> et D</w:t>
      </w:r>
    </w:p>
    <w:p w:rsidR="00E83437" w:rsidRPr="00BD7F4B" w:rsidRDefault="00E83437" w:rsidP="00B93B1B">
      <w:pPr>
        <w:spacing w:before="120"/>
        <w:ind w:firstLine="567"/>
        <w:jc w:val="both"/>
        <w:rPr>
          <w:rStyle w:val="longtext"/>
          <w:strike/>
          <w:shd w:val="clear" w:color="auto" w:fill="FFFFFF"/>
        </w:rPr>
      </w:pPr>
      <w:r w:rsidRPr="00BD7F4B">
        <w:rPr>
          <w:rStyle w:val="longtext"/>
          <w:shd w:val="clear" w:color="auto" w:fill="FFFFFF"/>
        </w:rPr>
        <w:t xml:space="preserve">À la fin du traitement thermique, la teneur en eau d’un produit atteint une valeur qui correspond à l'équilibre avec l'air ambiante et sa masse devient stationnaire. Cet équilibre thermodynamique est caractérisé par les isothermes de sorption dont les courbes expriment les états d’équilibre hygroscopique d’un produit donné. La détermination de ces isothermes constitue une étape indispensable pour une meilleure compréhension des phénomènes physicochimiques des surfaces. On fait, l’étude expérimentale et la modélisation des isothermes de sorption pour un phosphate naturel </w:t>
      </w:r>
      <w:r w:rsidRPr="00BD7F4B">
        <w:rPr>
          <w:rStyle w:val="longtext"/>
          <w:strike/>
          <w:shd w:val="clear" w:color="auto" w:fill="FFFFFF"/>
        </w:rPr>
        <w:t>a</w:t>
      </w:r>
      <w:r w:rsidRPr="00BD7F4B">
        <w:rPr>
          <w:rStyle w:val="longtext"/>
          <w:shd w:val="clear" w:color="auto" w:fill="FFFFFF"/>
        </w:rPr>
        <w:t xml:space="preserve"> ont été étudié par L. Bilali et al </w:t>
      </w:r>
      <w:r w:rsidR="005416E9" w:rsidRPr="00BD7F4B">
        <w:rPr>
          <w:b/>
          <w:bCs/>
        </w:rPr>
        <w:t>[29]</w:t>
      </w:r>
      <w:r w:rsidRPr="00BD7F4B">
        <w:rPr>
          <w:rStyle w:val="longtext"/>
          <w:shd w:val="clear" w:color="auto" w:fill="FFFFFF"/>
        </w:rPr>
        <w:t xml:space="preserve">. </w:t>
      </w:r>
      <w:r w:rsidRPr="00BD7F4B">
        <w:rPr>
          <w:rStyle w:val="hps"/>
        </w:rPr>
        <w:t>Évidemment</w:t>
      </w:r>
      <w:r w:rsidRPr="00BD7F4B">
        <w:rPr>
          <w:rStyle w:val="longtext"/>
        </w:rPr>
        <w:t xml:space="preserve">, </w:t>
      </w:r>
      <w:r w:rsidRPr="00BD7F4B">
        <w:rPr>
          <w:rStyle w:val="hps"/>
        </w:rPr>
        <w:t>les réactions</w:t>
      </w:r>
      <w:r w:rsidRPr="00BD7F4B">
        <w:rPr>
          <w:rStyle w:val="longtext"/>
        </w:rPr>
        <w:t xml:space="preserve"> </w:t>
      </w:r>
      <w:r w:rsidRPr="00BD7F4B">
        <w:rPr>
          <w:rStyle w:val="hps"/>
        </w:rPr>
        <w:t>gaz</w:t>
      </w:r>
      <w:r w:rsidRPr="00BD7F4B">
        <w:rPr>
          <w:rStyle w:val="atn"/>
        </w:rPr>
        <w:t>-</w:t>
      </w:r>
      <w:r w:rsidRPr="00BD7F4B">
        <w:rPr>
          <w:rStyle w:val="longtext"/>
        </w:rPr>
        <w:t xml:space="preserve">solide </w:t>
      </w:r>
      <w:r w:rsidRPr="00BD7F4B">
        <w:rPr>
          <w:rStyle w:val="hps"/>
        </w:rPr>
        <w:t>sont</w:t>
      </w:r>
      <w:r w:rsidRPr="00BD7F4B">
        <w:rPr>
          <w:rStyle w:val="longtext"/>
        </w:rPr>
        <w:t xml:space="preserve"> </w:t>
      </w:r>
      <w:r w:rsidRPr="00BD7F4B">
        <w:rPr>
          <w:rStyle w:val="hps"/>
        </w:rPr>
        <w:t>accompagnées</w:t>
      </w:r>
      <w:r w:rsidRPr="00BD7F4B">
        <w:rPr>
          <w:rStyle w:val="longtext"/>
        </w:rPr>
        <w:t xml:space="preserve"> </w:t>
      </w:r>
      <w:r w:rsidRPr="00BD7F4B">
        <w:rPr>
          <w:rStyle w:val="hps"/>
        </w:rPr>
        <w:t xml:space="preserve">par des changements structurels </w:t>
      </w:r>
      <w:r w:rsidRPr="00BD7F4B">
        <w:rPr>
          <w:rStyle w:val="longtext"/>
        </w:rPr>
        <w:t xml:space="preserve">irréversibles </w:t>
      </w:r>
      <w:r w:rsidRPr="00BD7F4B">
        <w:rPr>
          <w:rStyle w:val="hps"/>
        </w:rPr>
        <w:t>dans le</w:t>
      </w:r>
      <w:r w:rsidRPr="00BD7F4B">
        <w:rPr>
          <w:rStyle w:val="longtext"/>
        </w:rPr>
        <w:t xml:space="preserve"> </w:t>
      </w:r>
      <w:r w:rsidRPr="00BD7F4B">
        <w:rPr>
          <w:rStyle w:val="hps"/>
        </w:rPr>
        <w:t>produit</w:t>
      </w:r>
      <w:r w:rsidRPr="00BD7F4B">
        <w:rPr>
          <w:rStyle w:val="longtext"/>
        </w:rPr>
        <w:t xml:space="preserve"> </w:t>
      </w:r>
      <w:r w:rsidRPr="00BD7F4B">
        <w:rPr>
          <w:rStyle w:val="hps"/>
        </w:rPr>
        <w:t>solide. Ces derniers</w:t>
      </w:r>
      <w:r w:rsidRPr="00BD7F4B">
        <w:rPr>
          <w:rStyle w:val="longtext"/>
        </w:rPr>
        <w:t xml:space="preserve"> </w:t>
      </w:r>
      <w:r w:rsidRPr="00BD7F4B">
        <w:rPr>
          <w:rStyle w:val="hps"/>
        </w:rPr>
        <w:t xml:space="preserve">qui </w:t>
      </w:r>
      <w:r w:rsidRPr="00BD7F4B">
        <w:t>s’initient après le départ de l’humidité,</w:t>
      </w:r>
      <w:r w:rsidRPr="00BD7F4B">
        <w:rPr>
          <w:rStyle w:val="hps"/>
        </w:rPr>
        <w:t xml:space="preserve"> ne sont pas</w:t>
      </w:r>
      <w:r w:rsidRPr="00BD7F4B">
        <w:rPr>
          <w:rStyle w:val="longtext"/>
        </w:rPr>
        <w:t xml:space="preserve"> </w:t>
      </w:r>
      <w:r w:rsidRPr="00BD7F4B">
        <w:rPr>
          <w:rStyle w:val="hps"/>
        </w:rPr>
        <w:t>seulement une conséquence directe</w:t>
      </w:r>
      <w:r w:rsidRPr="00BD7F4B">
        <w:rPr>
          <w:rStyle w:val="longtext"/>
        </w:rPr>
        <w:t xml:space="preserve"> </w:t>
      </w:r>
      <w:r w:rsidRPr="00BD7F4B">
        <w:rPr>
          <w:rStyle w:val="hps"/>
        </w:rPr>
        <w:t>de</w:t>
      </w:r>
      <w:r w:rsidRPr="00BD7F4B">
        <w:rPr>
          <w:rStyle w:val="longtext"/>
        </w:rPr>
        <w:t xml:space="preserve"> </w:t>
      </w:r>
      <w:r w:rsidRPr="00BD7F4B">
        <w:rPr>
          <w:rStyle w:val="hps"/>
        </w:rPr>
        <w:t>la</w:t>
      </w:r>
      <w:r w:rsidRPr="00BD7F4B">
        <w:rPr>
          <w:rStyle w:val="longtext"/>
        </w:rPr>
        <w:t xml:space="preserve"> </w:t>
      </w:r>
      <w:r w:rsidRPr="00BD7F4B">
        <w:rPr>
          <w:rStyle w:val="hps"/>
        </w:rPr>
        <w:t>transformation chimique dans le</w:t>
      </w:r>
      <w:r w:rsidRPr="00BD7F4B">
        <w:rPr>
          <w:rStyle w:val="longtext"/>
        </w:rPr>
        <w:t xml:space="preserve"> </w:t>
      </w:r>
      <w:r w:rsidRPr="00BD7F4B">
        <w:rPr>
          <w:rStyle w:val="hps"/>
        </w:rPr>
        <w:t>solide, mais</w:t>
      </w:r>
      <w:r w:rsidRPr="00BD7F4B">
        <w:rPr>
          <w:rStyle w:val="longtext"/>
        </w:rPr>
        <w:t xml:space="preserve"> </w:t>
      </w:r>
      <w:r w:rsidRPr="00BD7F4B">
        <w:rPr>
          <w:rStyle w:val="hps"/>
        </w:rPr>
        <w:t>aussi</w:t>
      </w:r>
      <w:r w:rsidRPr="00BD7F4B">
        <w:rPr>
          <w:rStyle w:val="longtext"/>
        </w:rPr>
        <w:t xml:space="preserve"> </w:t>
      </w:r>
      <w:r w:rsidRPr="00BD7F4B">
        <w:rPr>
          <w:rStyle w:val="hps"/>
        </w:rPr>
        <w:t>des</w:t>
      </w:r>
      <w:r w:rsidRPr="00BD7F4B">
        <w:rPr>
          <w:rStyle w:val="longtext"/>
        </w:rPr>
        <w:t xml:space="preserve"> </w:t>
      </w:r>
      <w:r w:rsidRPr="00BD7F4B">
        <w:rPr>
          <w:rStyle w:val="hps"/>
        </w:rPr>
        <w:t>processus de calcination,</w:t>
      </w:r>
      <w:r w:rsidRPr="00BD7F4B">
        <w:rPr>
          <w:rStyle w:val="longtext"/>
        </w:rPr>
        <w:t xml:space="preserve"> </w:t>
      </w:r>
      <w:r w:rsidRPr="00BD7F4B">
        <w:rPr>
          <w:rStyle w:val="hps"/>
        </w:rPr>
        <w:t>de frittage</w:t>
      </w:r>
      <w:r w:rsidRPr="00BD7F4B">
        <w:rPr>
          <w:rStyle w:val="longtext"/>
        </w:rPr>
        <w:t xml:space="preserve">, </w:t>
      </w:r>
      <w:r w:rsidRPr="00BD7F4B">
        <w:rPr>
          <w:rStyle w:val="hps"/>
        </w:rPr>
        <w:t>de fissuration</w:t>
      </w:r>
      <w:r w:rsidRPr="00BD7F4B">
        <w:rPr>
          <w:rStyle w:val="longtext"/>
        </w:rPr>
        <w:t xml:space="preserve">, de </w:t>
      </w:r>
      <w:r w:rsidRPr="00BD7F4B">
        <w:rPr>
          <w:rStyle w:val="hps"/>
        </w:rPr>
        <w:t xml:space="preserve">gonflement </w:t>
      </w:r>
      <w:r w:rsidRPr="00BD7F4B">
        <w:rPr>
          <w:rStyle w:val="longtext"/>
        </w:rPr>
        <w:t>…</w:t>
      </w:r>
      <w:r w:rsidRPr="00BD7F4B">
        <w:rPr>
          <w:rStyle w:val="hps"/>
        </w:rPr>
        <w:t>etc</w:t>
      </w:r>
      <w:r w:rsidRPr="00BD7F4B">
        <w:rPr>
          <w:rStyle w:val="longtext"/>
        </w:rPr>
        <w:t xml:space="preserve"> </w:t>
      </w:r>
      <w:r w:rsidR="005416E9" w:rsidRPr="00BD7F4B">
        <w:rPr>
          <w:b/>
          <w:bCs/>
        </w:rPr>
        <w:t>[36]</w:t>
      </w:r>
      <w:r w:rsidRPr="00BD7F4B">
        <w:rPr>
          <w:rStyle w:val="longtext"/>
        </w:rPr>
        <w:t>.</w:t>
      </w:r>
    </w:p>
    <w:p w:rsidR="00E83437" w:rsidRPr="00BD7F4B" w:rsidRDefault="00E83437" w:rsidP="00BD04AB">
      <w:pPr>
        <w:ind w:firstLine="567"/>
        <w:jc w:val="both"/>
        <w:rPr>
          <w:shd w:val="clear" w:color="auto" w:fill="FFFFFF"/>
        </w:rPr>
      </w:pPr>
      <w:r w:rsidRPr="00BD7F4B">
        <w:rPr>
          <w:rStyle w:val="longtext"/>
          <w:shd w:val="clear" w:color="auto" w:fill="FFFFFF"/>
        </w:rPr>
        <w:t>En effet, les courbes de l’humidité relative aux différents phosphates étudiés A, B, C et D permet de fournir de précieuses informations sur l’équilibre hygroscopique, d'avoir une idée claire du domaine de stabilité du produit après le traitement et de connaître les diffèrent nature d'eau dans le phosphate. Par ailleurs, ces courbes sont indispensables lors des opérations de stockage et de séchage. La</w:t>
      </w:r>
      <w:r w:rsidRPr="00BD7F4B">
        <w:rPr>
          <w:rStyle w:val="longtext"/>
          <w:b/>
          <w:bCs/>
          <w:shd w:val="clear" w:color="auto" w:fill="FFFFFF"/>
        </w:rPr>
        <w:t xml:space="preserve"> figure. </w:t>
      </w:r>
      <w:r w:rsidR="007D4344" w:rsidRPr="00BD7F4B">
        <w:rPr>
          <w:rStyle w:val="longtext"/>
          <w:b/>
          <w:bCs/>
          <w:shd w:val="clear" w:color="auto" w:fill="FFFFFF"/>
        </w:rPr>
        <w:t>4</w:t>
      </w:r>
      <w:r w:rsidRPr="00BD7F4B">
        <w:rPr>
          <w:rStyle w:val="longtext"/>
          <w:shd w:val="clear" w:color="auto" w:fill="FFFFFF"/>
        </w:rPr>
        <w:t xml:space="preserve"> donne les teneurs en humidité en fonction du temps</w:t>
      </w:r>
      <w:r w:rsidRPr="00BD7F4B">
        <w:rPr>
          <w:rStyle w:val="longtext"/>
        </w:rPr>
        <w:t>.</w:t>
      </w:r>
    </w:p>
    <w:p w:rsidR="00E83437" w:rsidRPr="00BD7F4B" w:rsidRDefault="001F6289" w:rsidP="00A36AC9">
      <w:pPr>
        <w:spacing w:before="120" w:after="120"/>
        <w:ind w:firstLine="17"/>
        <w:jc w:val="center"/>
      </w:pPr>
      <w:r w:rsidRPr="00BD7F4B">
        <w:object w:dxaOrig="5619" w:dyaOrig="4488">
          <v:shape id="_x0000_i1030" type="#_x0000_t75" style="width:281pt;height:224.5pt" o:ole="">
            <v:imagedata r:id="rId20" o:title=""/>
          </v:shape>
          <o:OLEObject Type="Embed" ProgID="Origin50.Graph" ShapeID="_x0000_i1030" DrawAspect="Content" ObjectID="_1622669767" r:id="rId21"/>
        </w:object>
      </w:r>
    </w:p>
    <w:p w:rsidR="00E83437" w:rsidRPr="00BD7F4B" w:rsidRDefault="00E83437" w:rsidP="007D4344">
      <w:pPr>
        <w:spacing w:before="120" w:after="120"/>
        <w:ind w:firstLine="17"/>
        <w:jc w:val="center"/>
      </w:pPr>
      <w:r w:rsidRPr="00BD7F4B">
        <w:rPr>
          <w:b/>
          <w:bCs/>
        </w:rPr>
        <w:t>Figure.</w:t>
      </w:r>
      <w:r w:rsidR="007D4344" w:rsidRPr="00BD7F4B">
        <w:rPr>
          <w:b/>
          <w:bCs/>
        </w:rPr>
        <w:t>4</w:t>
      </w:r>
      <w:r w:rsidRPr="00BD7F4B">
        <w:rPr>
          <w:b/>
          <w:bCs/>
        </w:rPr>
        <w:t xml:space="preserve">: </w:t>
      </w:r>
      <w:r w:rsidRPr="00BD7F4B">
        <w:t>Cinétique de séchage des différents phosphates A, B, C et D</w:t>
      </w:r>
    </w:p>
    <w:p w:rsidR="00057CDE" w:rsidRPr="00BD7F4B" w:rsidRDefault="00057CDE" w:rsidP="00B93B1B">
      <w:pPr>
        <w:autoSpaceDE w:val="0"/>
        <w:autoSpaceDN w:val="0"/>
        <w:adjustRightInd w:val="0"/>
        <w:ind w:firstLine="567"/>
        <w:jc w:val="both"/>
        <w:rPr>
          <w:b/>
          <w:bCs/>
        </w:rPr>
      </w:pPr>
      <w:r w:rsidRPr="00BD7F4B">
        <w:rPr>
          <w:rStyle w:val="hps"/>
        </w:rPr>
        <w:t>Il est connu</w:t>
      </w:r>
      <w:r w:rsidRPr="00BD7F4B">
        <w:rPr>
          <w:rStyle w:val="longtext"/>
        </w:rPr>
        <w:t xml:space="preserve"> </w:t>
      </w:r>
      <w:r w:rsidRPr="00BD7F4B">
        <w:rPr>
          <w:rStyle w:val="hps"/>
        </w:rPr>
        <w:t>que</w:t>
      </w:r>
      <w:r w:rsidRPr="00BD7F4B">
        <w:rPr>
          <w:rStyle w:val="longtext"/>
        </w:rPr>
        <w:t xml:space="preserve"> </w:t>
      </w:r>
      <w:r w:rsidRPr="00BD7F4B">
        <w:rPr>
          <w:rStyle w:val="hps"/>
        </w:rPr>
        <w:t>les taux</w:t>
      </w:r>
      <w:r w:rsidRPr="00BD7F4B">
        <w:rPr>
          <w:rStyle w:val="longtext"/>
        </w:rPr>
        <w:t xml:space="preserve"> </w:t>
      </w:r>
      <w:r w:rsidRPr="00BD7F4B">
        <w:rPr>
          <w:rStyle w:val="hps"/>
        </w:rPr>
        <w:t>de diffusion</w:t>
      </w:r>
      <w:r w:rsidRPr="00BD7F4B">
        <w:rPr>
          <w:rStyle w:val="longtext"/>
        </w:rPr>
        <w:t xml:space="preserve"> et la capacité d’adsorption </w:t>
      </w:r>
      <w:r w:rsidRPr="00BD7F4B">
        <w:rPr>
          <w:rStyle w:val="hps"/>
        </w:rPr>
        <w:t xml:space="preserve">augmentent avec </w:t>
      </w:r>
      <w:r w:rsidRPr="00BD7F4B">
        <w:rPr>
          <w:rStyle w:val="longtext"/>
        </w:rPr>
        <w:t xml:space="preserve">l’humidité </w:t>
      </w:r>
      <w:r w:rsidRPr="00BD7F4B">
        <w:rPr>
          <w:rStyle w:val="hps"/>
        </w:rPr>
        <w:t>initiale</w:t>
      </w:r>
      <w:r w:rsidRPr="00BD7F4B">
        <w:rPr>
          <w:rStyle w:val="longtext"/>
        </w:rPr>
        <w:t>. De ce fait, l</w:t>
      </w:r>
      <w:r w:rsidRPr="00BD7F4B">
        <w:rPr>
          <w:rStyle w:val="hps"/>
        </w:rPr>
        <w:t>e</w:t>
      </w:r>
      <w:r w:rsidRPr="00BD7F4B">
        <w:rPr>
          <w:rStyle w:val="longtext"/>
        </w:rPr>
        <w:t xml:space="preserve"> </w:t>
      </w:r>
      <w:r w:rsidRPr="00BD7F4B">
        <w:rPr>
          <w:rStyle w:val="hps"/>
        </w:rPr>
        <w:t>temps plus court</w:t>
      </w:r>
      <w:r w:rsidRPr="00BD7F4B">
        <w:rPr>
          <w:rStyle w:val="longtext"/>
        </w:rPr>
        <w:t xml:space="preserve"> </w:t>
      </w:r>
      <w:r w:rsidRPr="00BD7F4B">
        <w:rPr>
          <w:rStyle w:val="hps"/>
        </w:rPr>
        <w:t>par rapport</w:t>
      </w:r>
      <w:r w:rsidRPr="00BD7F4B">
        <w:rPr>
          <w:rStyle w:val="longtext"/>
        </w:rPr>
        <w:t xml:space="preserve"> </w:t>
      </w:r>
      <w:r w:rsidRPr="00BD7F4B">
        <w:rPr>
          <w:rStyle w:val="hps"/>
        </w:rPr>
        <w:t>à l'équilibre</w:t>
      </w:r>
      <w:r w:rsidRPr="00BD7F4B">
        <w:rPr>
          <w:rStyle w:val="longtext"/>
        </w:rPr>
        <w:t xml:space="preserve"> d’</w:t>
      </w:r>
      <w:r w:rsidRPr="00BD7F4B">
        <w:rPr>
          <w:rStyle w:val="hps"/>
        </w:rPr>
        <w:t>adsorption peut</w:t>
      </w:r>
      <w:r w:rsidRPr="00BD7F4B">
        <w:rPr>
          <w:rStyle w:val="longtext"/>
        </w:rPr>
        <w:t xml:space="preserve"> </w:t>
      </w:r>
      <w:r w:rsidRPr="00BD7F4B">
        <w:rPr>
          <w:rStyle w:val="hps"/>
        </w:rPr>
        <w:t>être</w:t>
      </w:r>
      <w:r w:rsidRPr="00BD7F4B">
        <w:rPr>
          <w:rStyle w:val="longtext"/>
        </w:rPr>
        <w:t xml:space="preserve"> </w:t>
      </w:r>
      <w:r w:rsidRPr="00BD7F4B">
        <w:rPr>
          <w:rStyle w:val="hps"/>
        </w:rPr>
        <w:t>attribuée</w:t>
      </w:r>
      <w:r w:rsidRPr="00BD7F4B">
        <w:rPr>
          <w:rStyle w:val="longtext"/>
        </w:rPr>
        <w:t xml:space="preserve"> </w:t>
      </w:r>
      <w:r w:rsidRPr="00BD7F4B">
        <w:rPr>
          <w:rStyle w:val="hps"/>
        </w:rPr>
        <w:t>aux propriétés physico-chimiques interfaciales</w:t>
      </w:r>
      <w:r w:rsidRPr="00BD7F4B">
        <w:rPr>
          <w:rStyle w:val="longtext"/>
        </w:rPr>
        <w:t xml:space="preserve">. </w:t>
      </w:r>
      <w:r w:rsidRPr="00BD7F4B">
        <w:rPr>
          <w:rStyle w:val="hps"/>
        </w:rPr>
        <w:t>Il a</w:t>
      </w:r>
      <w:r w:rsidRPr="00BD7F4B">
        <w:rPr>
          <w:rStyle w:val="longtext"/>
        </w:rPr>
        <w:t xml:space="preserve"> </w:t>
      </w:r>
      <w:r w:rsidRPr="00BD7F4B">
        <w:rPr>
          <w:rStyle w:val="hps"/>
        </w:rPr>
        <w:t>été</w:t>
      </w:r>
      <w:r w:rsidRPr="00BD7F4B">
        <w:rPr>
          <w:rStyle w:val="longtext"/>
        </w:rPr>
        <w:t xml:space="preserve"> </w:t>
      </w:r>
      <w:r w:rsidRPr="00BD7F4B">
        <w:rPr>
          <w:rStyle w:val="hps"/>
        </w:rPr>
        <w:t>signalé</w:t>
      </w:r>
      <w:r w:rsidRPr="00BD7F4B">
        <w:rPr>
          <w:rStyle w:val="longtext"/>
        </w:rPr>
        <w:t xml:space="preserve"> </w:t>
      </w:r>
      <w:r w:rsidRPr="00BD7F4B">
        <w:rPr>
          <w:rStyle w:val="hps"/>
        </w:rPr>
        <w:t>que</w:t>
      </w:r>
      <w:r w:rsidRPr="00BD7F4B">
        <w:rPr>
          <w:rStyle w:val="longtext"/>
        </w:rPr>
        <w:t xml:space="preserve"> </w:t>
      </w:r>
      <w:r w:rsidRPr="00BD7F4B">
        <w:rPr>
          <w:rStyle w:val="hps"/>
        </w:rPr>
        <w:t>le temps requis pour</w:t>
      </w:r>
      <w:r w:rsidRPr="00BD7F4B">
        <w:rPr>
          <w:rStyle w:val="longtext"/>
        </w:rPr>
        <w:t xml:space="preserve"> </w:t>
      </w:r>
      <w:r w:rsidRPr="00BD7F4B">
        <w:rPr>
          <w:rStyle w:val="hps"/>
        </w:rPr>
        <w:t>atteindre</w:t>
      </w:r>
      <w:r w:rsidRPr="00BD7F4B">
        <w:rPr>
          <w:rStyle w:val="longtext"/>
        </w:rPr>
        <w:t xml:space="preserve"> </w:t>
      </w:r>
      <w:r w:rsidRPr="00BD7F4B">
        <w:rPr>
          <w:rStyle w:val="hps"/>
        </w:rPr>
        <w:t>l'équilibre hygroscopique</w:t>
      </w:r>
      <w:r w:rsidRPr="00BD7F4B">
        <w:rPr>
          <w:rStyle w:val="longtext"/>
        </w:rPr>
        <w:t xml:space="preserve"> dépend</w:t>
      </w:r>
      <w:r w:rsidRPr="00BD7F4B">
        <w:rPr>
          <w:rStyle w:val="hps"/>
        </w:rPr>
        <w:t xml:space="preserve"> des</w:t>
      </w:r>
      <w:r w:rsidRPr="00BD7F4B">
        <w:rPr>
          <w:rStyle w:val="longtext"/>
        </w:rPr>
        <w:t xml:space="preserve"> </w:t>
      </w:r>
      <w:r w:rsidRPr="00BD7F4B">
        <w:rPr>
          <w:rStyle w:val="hps"/>
        </w:rPr>
        <w:t>processus</w:t>
      </w:r>
      <w:r w:rsidRPr="00BD7F4B">
        <w:rPr>
          <w:rStyle w:val="hpsatn"/>
        </w:rPr>
        <w:t xml:space="preserve"> d'</w:t>
      </w:r>
      <w:r w:rsidRPr="00BD7F4B">
        <w:rPr>
          <w:rStyle w:val="longtext"/>
        </w:rPr>
        <w:t xml:space="preserve">adsorption </w:t>
      </w:r>
      <w:r w:rsidRPr="00BD7F4B">
        <w:rPr>
          <w:rStyle w:val="hps"/>
        </w:rPr>
        <w:t>dans lequel</w:t>
      </w:r>
      <w:r w:rsidRPr="00BD7F4B">
        <w:rPr>
          <w:rStyle w:val="longtext"/>
        </w:rPr>
        <w:t xml:space="preserve"> </w:t>
      </w:r>
      <w:r w:rsidRPr="00BD7F4B">
        <w:rPr>
          <w:rStyle w:val="hps"/>
        </w:rPr>
        <w:t>les interactions</w:t>
      </w:r>
      <w:r w:rsidRPr="00BD7F4B">
        <w:rPr>
          <w:rStyle w:val="longtext"/>
        </w:rPr>
        <w:t xml:space="preserve"> </w:t>
      </w:r>
      <w:r w:rsidRPr="00BD7F4B">
        <w:rPr>
          <w:rStyle w:val="hps"/>
        </w:rPr>
        <w:t>physiques</w:t>
      </w:r>
      <w:r w:rsidRPr="00BD7F4B">
        <w:rPr>
          <w:rStyle w:val="longtext"/>
        </w:rPr>
        <w:t xml:space="preserve"> </w:t>
      </w:r>
      <w:r w:rsidRPr="00BD7F4B">
        <w:rPr>
          <w:rStyle w:val="hps"/>
        </w:rPr>
        <w:t>sont</w:t>
      </w:r>
      <w:r w:rsidRPr="00BD7F4B">
        <w:rPr>
          <w:rStyle w:val="longtext"/>
        </w:rPr>
        <w:t xml:space="preserve"> </w:t>
      </w:r>
      <w:r w:rsidRPr="00BD7F4B">
        <w:rPr>
          <w:rStyle w:val="hps"/>
        </w:rPr>
        <w:t>prédominantes</w:t>
      </w:r>
      <w:r w:rsidRPr="00BD7F4B">
        <w:rPr>
          <w:rStyle w:val="longtext"/>
        </w:rPr>
        <w:t xml:space="preserve"> </w:t>
      </w:r>
      <w:r w:rsidR="005416E9" w:rsidRPr="00BD7F4B">
        <w:rPr>
          <w:b/>
          <w:bCs/>
        </w:rPr>
        <w:t>[37]</w:t>
      </w:r>
      <w:r w:rsidRPr="00BD7F4B">
        <w:t>.</w:t>
      </w:r>
    </w:p>
    <w:p w:rsidR="00057CDE" w:rsidRPr="00BD7F4B" w:rsidRDefault="00057CDE" w:rsidP="00A36AC9">
      <w:pPr>
        <w:pStyle w:val="normal0"/>
        <w:ind w:firstLine="567"/>
        <w:rPr>
          <w:rFonts w:ascii="Times New Roman" w:hAnsi="Times New Roman"/>
          <w:shd w:val="clear" w:color="auto" w:fill="FFFFFF"/>
        </w:rPr>
      </w:pPr>
      <w:r w:rsidRPr="00BD7F4B">
        <w:rPr>
          <w:rStyle w:val="longtext"/>
          <w:rFonts w:ascii="Times New Roman" w:hAnsi="Times New Roman"/>
          <w:shd w:val="clear" w:color="auto" w:fill="FFFFFF"/>
        </w:rPr>
        <w:t xml:space="preserve">Il nous apparu que les courbes du phosphates calciné (B) et celle provient par mélange à chaud (D) ont une valeur faible de </w:t>
      </w:r>
      <w:r w:rsidRPr="00BD7F4B">
        <w:rPr>
          <w:rStyle w:val="longtext"/>
          <w:rFonts w:ascii="Times New Roman" w:hAnsi="Times New Roman"/>
        </w:rPr>
        <w:t>l’humidité</w:t>
      </w:r>
      <w:r w:rsidRPr="00BD7F4B">
        <w:rPr>
          <w:rStyle w:val="longtext"/>
          <w:rFonts w:ascii="Times New Roman" w:hAnsi="Times New Roman"/>
          <w:shd w:val="clear" w:color="auto" w:fill="FFFFFF"/>
        </w:rPr>
        <w:t xml:space="preserve"> en comparaison avec les autres phosphates ((A) et (C)). O</w:t>
      </w:r>
      <w:r w:rsidRPr="00BD7F4B">
        <w:rPr>
          <w:rFonts w:ascii="Times New Roman" w:hAnsi="Times New Roman"/>
        </w:rPr>
        <w:t>n constate que l’équilibre hygroscopique peut être</w:t>
      </w:r>
      <w:r w:rsidRPr="00BD7F4B">
        <w:rPr>
          <w:rStyle w:val="hps"/>
          <w:rFonts w:ascii="Times New Roman" w:hAnsi="Times New Roman"/>
        </w:rPr>
        <w:t xml:space="preserve"> atteint en quelques seconds après le traitement thermique</w:t>
      </w:r>
      <w:r w:rsidRPr="00BD7F4B">
        <w:rPr>
          <w:rStyle w:val="longtext"/>
          <w:rFonts w:ascii="Times New Roman" w:hAnsi="Times New Roman"/>
        </w:rPr>
        <w:t xml:space="preserve">. En outre, la vitesse de refroidissement et de décarbonatation a un effet positif sur la performance des propriétés physiques. La diminution brutale de la température peut être attribuée aux changements structurels qui surviennent dans la structure et la distribution des pores des échantillons du phosphate lors du </w:t>
      </w:r>
      <w:r w:rsidRPr="00BD7F4B">
        <w:rPr>
          <w:rFonts w:ascii="Times New Roman" w:hAnsi="Times New Roman"/>
          <w:shd w:val="clear" w:color="auto" w:fill="FFFFFF"/>
        </w:rPr>
        <w:t>mélange à chaud.</w:t>
      </w:r>
    </w:p>
    <w:p w:rsidR="00780E39" w:rsidRPr="00BD7F4B" w:rsidRDefault="00707B55" w:rsidP="00A36AC9">
      <w:pPr>
        <w:spacing w:before="120" w:after="120"/>
        <w:jc w:val="both"/>
        <w:rPr>
          <w:b/>
          <w:bCs/>
        </w:rPr>
      </w:pPr>
      <w:r w:rsidRPr="00BD7F4B">
        <w:rPr>
          <w:b/>
          <w:bCs/>
          <w:lang w:bidi="he-IL"/>
        </w:rPr>
        <w:t>5. 5</w:t>
      </w:r>
      <w:r w:rsidR="00780E39" w:rsidRPr="00BD7F4B">
        <w:rPr>
          <w:b/>
          <w:bCs/>
          <w:lang w:bidi="he-IL"/>
        </w:rPr>
        <w:t>.</w:t>
      </w:r>
      <w:r w:rsidR="00CE0FF4" w:rsidRPr="00BD7F4B">
        <w:rPr>
          <w:b/>
          <w:bCs/>
          <w:lang w:bidi="he-IL"/>
        </w:rPr>
        <w:t xml:space="preserve"> </w:t>
      </w:r>
      <w:r w:rsidR="008E76AE" w:rsidRPr="00BD7F4B">
        <w:rPr>
          <w:b/>
          <w:bCs/>
          <w:lang w:bidi="he-IL"/>
        </w:rPr>
        <w:t>Comparaison</w:t>
      </w:r>
      <w:r w:rsidR="00CE0FF4" w:rsidRPr="00BD7F4B">
        <w:rPr>
          <w:b/>
          <w:bCs/>
          <w:lang w:bidi="he-IL"/>
        </w:rPr>
        <w:t xml:space="preserve"> entre l</w:t>
      </w:r>
      <w:r w:rsidR="00CE0FF4" w:rsidRPr="00BD7F4B">
        <w:rPr>
          <w:b/>
          <w:bCs/>
        </w:rPr>
        <w:t>es diffractogrammes de RX des différents phosphates A, B et D</w:t>
      </w:r>
    </w:p>
    <w:p w:rsidR="00CF6087" w:rsidRPr="00BD7F4B" w:rsidRDefault="00CF6087" w:rsidP="007D4344">
      <w:pPr>
        <w:spacing w:before="120" w:after="120"/>
        <w:ind w:firstLine="567"/>
        <w:jc w:val="both"/>
      </w:pPr>
      <w:r w:rsidRPr="00BD7F4B">
        <w:t xml:space="preserve">Le comportement thermique qui résulte de la transformation structurale des différents phosphates A, B et D, peut être observé par diffractions des rayons X. </w:t>
      </w:r>
      <w:r w:rsidRPr="00BD7F4B">
        <w:rPr>
          <w:b/>
          <w:bCs/>
        </w:rPr>
        <w:t>La figure</w:t>
      </w:r>
      <w:r w:rsidR="00E068E7" w:rsidRPr="00BD7F4B">
        <w:rPr>
          <w:b/>
          <w:bCs/>
        </w:rPr>
        <w:t xml:space="preserve">. </w:t>
      </w:r>
      <w:r w:rsidR="007D4344" w:rsidRPr="00BD7F4B">
        <w:rPr>
          <w:b/>
          <w:bCs/>
        </w:rPr>
        <w:t>5</w:t>
      </w:r>
      <w:r w:rsidRPr="00BD7F4B">
        <w:rPr>
          <w:rStyle w:val="longtext"/>
          <w:b/>
          <w:bCs/>
        </w:rPr>
        <w:t xml:space="preserve"> </w:t>
      </w:r>
      <w:r w:rsidRPr="00BD7F4B">
        <w:t>rassemblent</w:t>
      </w:r>
      <w:r w:rsidRPr="00BD7F4B">
        <w:rPr>
          <w:b/>
          <w:bCs/>
        </w:rPr>
        <w:t xml:space="preserve"> </w:t>
      </w:r>
      <w:r w:rsidRPr="00BD7F4B">
        <w:t>les diffractogrammes de RX des échantillons des phosphates brut (A), calciné (B) et de mélange à chaud (D).</w:t>
      </w:r>
    </w:p>
    <w:p w:rsidR="00CE0FF4" w:rsidRPr="00BD7F4B" w:rsidRDefault="00567439" w:rsidP="00A36AC9">
      <w:pPr>
        <w:spacing w:before="240"/>
        <w:jc w:val="center"/>
      </w:pPr>
      <w:r>
        <w:rPr>
          <w:noProof/>
          <w:lang w:eastAsia="fr-FR"/>
        </w:rPr>
        <w:drawing>
          <wp:inline distT="0" distB="0" distL="0" distR="0">
            <wp:extent cx="3060700" cy="2520950"/>
            <wp:effectExtent l="0" t="0" r="635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0" cy="2520950"/>
                    </a:xfrm>
                    <a:prstGeom prst="rect">
                      <a:avLst/>
                    </a:prstGeom>
                    <a:noFill/>
                    <a:ln>
                      <a:noFill/>
                    </a:ln>
                  </pic:spPr>
                </pic:pic>
              </a:graphicData>
            </a:graphic>
          </wp:inline>
        </w:drawing>
      </w:r>
    </w:p>
    <w:p w:rsidR="00CE0FF4" w:rsidRPr="00BD7F4B" w:rsidRDefault="00567439" w:rsidP="00A36AC9">
      <w:pPr>
        <w:tabs>
          <w:tab w:val="left" w:pos="2160"/>
        </w:tabs>
        <w:spacing w:before="240" w:after="240"/>
        <w:jc w:val="center"/>
      </w:pPr>
      <w:r>
        <w:rPr>
          <w:noProof/>
          <w:lang w:eastAsia="fr-FR"/>
        </w:rPr>
        <w:drawing>
          <wp:inline distT="0" distB="0" distL="0" distR="0">
            <wp:extent cx="3086100" cy="2546350"/>
            <wp:effectExtent l="0" t="0" r="0" b="635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6100" cy="2546350"/>
                    </a:xfrm>
                    <a:prstGeom prst="rect">
                      <a:avLst/>
                    </a:prstGeom>
                    <a:noFill/>
                    <a:ln>
                      <a:noFill/>
                    </a:ln>
                  </pic:spPr>
                </pic:pic>
              </a:graphicData>
            </a:graphic>
          </wp:inline>
        </w:drawing>
      </w:r>
    </w:p>
    <w:p w:rsidR="00CE0FF4" w:rsidRPr="00BD7F4B" w:rsidRDefault="00567439" w:rsidP="00A36AC9">
      <w:pPr>
        <w:tabs>
          <w:tab w:val="left" w:pos="2160"/>
        </w:tabs>
        <w:spacing w:before="240" w:after="240"/>
        <w:jc w:val="center"/>
      </w:pPr>
      <w:r>
        <w:rPr>
          <w:noProof/>
          <w:lang w:eastAsia="fr-FR"/>
        </w:rPr>
        <w:drawing>
          <wp:inline distT="0" distB="0" distL="0" distR="0">
            <wp:extent cx="3079750" cy="2349500"/>
            <wp:effectExtent l="0" t="0" r="635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9750" cy="2349500"/>
                    </a:xfrm>
                    <a:prstGeom prst="rect">
                      <a:avLst/>
                    </a:prstGeom>
                    <a:noFill/>
                    <a:ln>
                      <a:noFill/>
                    </a:ln>
                  </pic:spPr>
                </pic:pic>
              </a:graphicData>
            </a:graphic>
          </wp:inline>
        </w:drawing>
      </w:r>
    </w:p>
    <w:p w:rsidR="00CE0FF4" w:rsidRPr="00BD7F4B" w:rsidRDefault="00CE0FF4" w:rsidP="004D1FC3">
      <w:pPr>
        <w:spacing w:before="120" w:after="120"/>
        <w:ind w:firstLine="17"/>
        <w:jc w:val="center"/>
      </w:pPr>
      <w:r w:rsidRPr="00BD7F4B">
        <w:rPr>
          <w:b/>
          <w:bCs/>
        </w:rPr>
        <w:t>Figure</w:t>
      </w:r>
      <w:r w:rsidR="005A6C35" w:rsidRPr="00BD7F4B">
        <w:rPr>
          <w:b/>
          <w:bCs/>
        </w:rPr>
        <w:t xml:space="preserve">. </w:t>
      </w:r>
      <w:r w:rsidR="007D4344" w:rsidRPr="00BD7F4B">
        <w:rPr>
          <w:b/>
          <w:bCs/>
        </w:rPr>
        <w:t>5:</w:t>
      </w:r>
      <w:r w:rsidRPr="00BD7F4B">
        <w:rPr>
          <w:b/>
          <w:bCs/>
        </w:rPr>
        <w:t xml:space="preserve"> </w:t>
      </w:r>
      <w:r w:rsidR="00E068E7" w:rsidRPr="00BD7F4B">
        <w:t>Diffractogrammes de RX des différents phosphates A, B et D</w:t>
      </w:r>
    </w:p>
    <w:p w:rsidR="000A5892" w:rsidRPr="00BD7F4B" w:rsidRDefault="000A5892" w:rsidP="00A36AC9">
      <w:pPr>
        <w:autoSpaceDE w:val="0"/>
        <w:autoSpaceDN w:val="0"/>
        <w:adjustRightInd w:val="0"/>
        <w:ind w:firstLine="567"/>
        <w:jc w:val="both"/>
      </w:pPr>
      <w:r w:rsidRPr="00BD7F4B">
        <w:t>Les informations obtenues à partir les diffractogrammes des rayons X des phosphates A, B et D permettent de mettre en évidence les mêmes phases. Toutefois, les intensités des pics des différentes phases sont proches dans le phosphate calciné (B) et dans le phosphate mélangé à chaud (D). Cela nous permet de conclure qu’une partie des impuretés est grillée pendant le traitement des deux phosphates B et D.</w:t>
      </w:r>
    </w:p>
    <w:p w:rsidR="000A5892" w:rsidRPr="00BD7F4B" w:rsidRDefault="000A5892" w:rsidP="00A36AC9">
      <w:pPr>
        <w:autoSpaceDE w:val="0"/>
        <w:autoSpaceDN w:val="0"/>
        <w:adjustRightInd w:val="0"/>
        <w:ind w:firstLine="567"/>
        <w:jc w:val="both"/>
      </w:pPr>
      <w:r w:rsidRPr="00BD7F4B">
        <w:t>En outre, les chevauchements dus aux interférences entre les pics des impuretés et les pics de l'apatite peuvent être aussi enlevés pendant le traitement thermique par mélange à chaud.</w:t>
      </w:r>
    </w:p>
    <w:p w:rsidR="00121A33" w:rsidRPr="00BD7F4B" w:rsidRDefault="00707B55" w:rsidP="00A36AC9">
      <w:pPr>
        <w:spacing w:before="120" w:after="120"/>
        <w:ind w:firstLine="17"/>
        <w:jc w:val="both"/>
        <w:rPr>
          <w:b/>
          <w:bCs/>
        </w:rPr>
      </w:pPr>
      <w:r w:rsidRPr="00BD7F4B">
        <w:rPr>
          <w:b/>
          <w:bCs/>
          <w:lang w:bidi="he-IL"/>
        </w:rPr>
        <w:t>5. 6</w:t>
      </w:r>
      <w:r w:rsidR="00121A33" w:rsidRPr="00BD7F4B">
        <w:rPr>
          <w:b/>
          <w:bCs/>
          <w:lang w:bidi="he-IL"/>
        </w:rPr>
        <w:t xml:space="preserve">. </w:t>
      </w:r>
      <w:r w:rsidR="00441433" w:rsidRPr="00BD7F4B">
        <w:rPr>
          <w:b/>
          <w:bCs/>
          <w:lang w:bidi="he-IL"/>
        </w:rPr>
        <w:t>Comparaison</w:t>
      </w:r>
      <w:r w:rsidR="00CE0FF4" w:rsidRPr="00BD7F4B">
        <w:rPr>
          <w:b/>
          <w:bCs/>
          <w:lang w:bidi="he-IL"/>
        </w:rPr>
        <w:t xml:space="preserve"> entre l</w:t>
      </w:r>
      <w:r w:rsidR="00CE0FF4" w:rsidRPr="00BD7F4B">
        <w:rPr>
          <w:b/>
          <w:bCs/>
        </w:rPr>
        <w:t>es courbes ATD-</w:t>
      </w:r>
      <w:r w:rsidR="005E6D29" w:rsidRPr="00BD7F4B">
        <w:rPr>
          <w:b/>
          <w:bCs/>
        </w:rPr>
        <w:t xml:space="preserve">ATG des différents phosphates </w:t>
      </w:r>
      <w:r w:rsidR="00CE0FF4" w:rsidRPr="00BD7F4B">
        <w:rPr>
          <w:b/>
          <w:bCs/>
        </w:rPr>
        <w:t xml:space="preserve">A, </w:t>
      </w:r>
      <w:r w:rsidR="005E6D29" w:rsidRPr="00BD7F4B">
        <w:rPr>
          <w:b/>
          <w:bCs/>
        </w:rPr>
        <w:t>B</w:t>
      </w:r>
      <w:r w:rsidR="00CE0FF4" w:rsidRPr="00BD7F4B">
        <w:rPr>
          <w:b/>
          <w:bCs/>
        </w:rPr>
        <w:t xml:space="preserve"> et D</w:t>
      </w:r>
    </w:p>
    <w:p w:rsidR="005E6D29" w:rsidRPr="00BD7F4B" w:rsidRDefault="005E6D29" w:rsidP="007D4344">
      <w:pPr>
        <w:spacing w:before="120" w:after="120"/>
        <w:ind w:firstLine="567"/>
        <w:jc w:val="both"/>
        <w:rPr>
          <w:b/>
          <w:bCs/>
        </w:rPr>
      </w:pPr>
      <w:r w:rsidRPr="00BD7F4B">
        <w:t xml:space="preserve">Dans un premier temps, nous avons comparé les résultats des analyses ATD-ATG dans le but de relier les pertes de masse, observées en ATD-ATG en fonction de la température, aux phénomènes mis en jeu pendant le traitement des différents phosphates. La </w:t>
      </w:r>
      <w:r w:rsidRPr="00BD7F4B">
        <w:rPr>
          <w:b/>
          <w:bCs/>
        </w:rPr>
        <w:t xml:space="preserve">figure. </w:t>
      </w:r>
      <w:r w:rsidR="007D4344" w:rsidRPr="00BD7F4B">
        <w:rPr>
          <w:b/>
          <w:bCs/>
        </w:rPr>
        <w:t>6</w:t>
      </w:r>
      <w:r w:rsidRPr="00BD7F4B">
        <w:rPr>
          <w:rStyle w:val="longtext"/>
          <w:b/>
          <w:bCs/>
        </w:rPr>
        <w:t xml:space="preserve"> </w:t>
      </w:r>
      <w:r w:rsidRPr="00BD7F4B">
        <w:t>regroupe les courbes ATD-ATG des phosphates: brut (A), calciné (B) et celle du mélange à chaud (D).</w:t>
      </w:r>
    </w:p>
    <w:p w:rsidR="00CE0FF4" w:rsidRPr="00BD7F4B" w:rsidRDefault="00567439" w:rsidP="00A36AC9">
      <w:pPr>
        <w:jc w:val="center"/>
      </w:pPr>
      <w:r>
        <w:rPr>
          <w:noProof/>
          <w:lang w:eastAsia="fr-FR"/>
        </w:rPr>
        <w:drawing>
          <wp:inline distT="0" distB="0" distL="0" distR="0">
            <wp:extent cx="3079750" cy="2432050"/>
            <wp:effectExtent l="0" t="0" r="6350" b="635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9750" cy="2432050"/>
                    </a:xfrm>
                    <a:prstGeom prst="rect">
                      <a:avLst/>
                    </a:prstGeom>
                    <a:noFill/>
                    <a:ln>
                      <a:noFill/>
                    </a:ln>
                  </pic:spPr>
                </pic:pic>
              </a:graphicData>
            </a:graphic>
          </wp:inline>
        </w:drawing>
      </w:r>
    </w:p>
    <w:p w:rsidR="00CE0FF4" w:rsidRPr="00BD7F4B" w:rsidRDefault="00567439" w:rsidP="00A36AC9">
      <w:pPr>
        <w:tabs>
          <w:tab w:val="left" w:pos="2160"/>
        </w:tabs>
        <w:jc w:val="center"/>
      </w:pPr>
      <w:r>
        <w:rPr>
          <w:noProof/>
          <w:lang w:eastAsia="fr-FR"/>
        </w:rPr>
        <w:drawing>
          <wp:inline distT="0" distB="0" distL="0" distR="0">
            <wp:extent cx="3067050" cy="240665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7050" cy="2406650"/>
                    </a:xfrm>
                    <a:prstGeom prst="rect">
                      <a:avLst/>
                    </a:prstGeom>
                    <a:noFill/>
                    <a:ln>
                      <a:noFill/>
                    </a:ln>
                  </pic:spPr>
                </pic:pic>
              </a:graphicData>
            </a:graphic>
          </wp:inline>
        </w:drawing>
      </w:r>
    </w:p>
    <w:p w:rsidR="00CE0FF4" w:rsidRPr="00BD7F4B" w:rsidRDefault="00567439" w:rsidP="00A36AC9">
      <w:pPr>
        <w:jc w:val="center"/>
        <w:rPr>
          <w:sz w:val="20"/>
          <w:szCs w:val="20"/>
        </w:rPr>
      </w:pPr>
      <w:r>
        <w:rPr>
          <w:noProof/>
          <w:sz w:val="20"/>
          <w:szCs w:val="20"/>
          <w:lang w:eastAsia="fr-FR"/>
        </w:rPr>
        <w:drawing>
          <wp:inline distT="0" distB="0" distL="0" distR="0">
            <wp:extent cx="3067050" cy="2374900"/>
            <wp:effectExtent l="0" t="0" r="0" b="635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7050" cy="2374900"/>
                    </a:xfrm>
                    <a:prstGeom prst="rect">
                      <a:avLst/>
                    </a:prstGeom>
                    <a:noFill/>
                    <a:ln>
                      <a:noFill/>
                    </a:ln>
                  </pic:spPr>
                </pic:pic>
              </a:graphicData>
            </a:graphic>
          </wp:inline>
        </w:drawing>
      </w:r>
    </w:p>
    <w:p w:rsidR="00CE0FF4" w:rsidRPr="00BD7F4B" w:rsidRDefault="00CE0FF4" w:rsidP="007D4344">
      <w:pPr>
        <w:spacing w:before="120" w:after="120"/>
        <w:jc w:val="center"/>
      </w:pPr>
      <w:r w:rsidRPr="00BD7F4B">
        <w:rPr>
          <w:b/>
          <w:bCs/>
        </w:rPr>
        <w:t>Figure.</w:t>
      </w:r>
      <w:r w:rsidR="007D4344" w:rsidRPr="00BD7F4B">
        <w:rPr>
          <w:b/>
          <w:bCs/>
        </w:rPr>
        <w:t>6</w:t>
      </w:r>
      <w:r w:rsidRPr="00BD7F4B">
        <w:rPr>
          <w:b/>
          <w:bCs/>
        </w:rPr>
        <w:t>:</w:t>
      </w:r>
      <w:r w:rsidRPr="00BD7F4B">
        <w:t xml:space="preserve"> </w:t>
      </w:r>
      <w:r w:rsidR="00DD2B67" w:rsidRPr="00BD7F4B">
        <w:t>Courbe ATD-ATG des différents phosphates A, B et D</w:t>
      </w:r>
    </w:p>
    <w:p w:rsidR="00823A48" w:rsidRPr="00BD7F4B" w:rsidRDefault="00823A48" w:rsidP="007D4344">
      <w:pPr>
        <w:tabs>
          <w:tab w:val="left" w:pos="540"/>
          <w:tab w:val="left" w:pos="2605"/>
        </w:tabs>
        <w:ind w:firstLine="567"/>
        <w:jc w:val="both"/>
      </w:pPr>
      <w:r w:rsidRPr="00BD7F4B">
        <w:t xml:space="preserve">Une grande similitude est observée entre les courbes d’ATD-ATG de phosphate calciné et celle du phosphate mélangé à chaud. L’’écart des pertes de masses entre les phosphates B et D est de l’ordre de 1% et les effets thermiques ont lieu dans les mêmes gammes de températures </w:t>
      </w:r>
      <w:r w:rsidR="00282EFB" w:rsidRPr="00BD7F4B">
        <w:rPr>
          <w:b/>
          <w:bCs/>
        </w:rPr>
        <w:t>(fig</w:t>
      </w:r>
      <w:r w:rsidR="00D8166A" w:rsidRPr="00BD7F4B">
        <w:rPr>
          <w:b/>
          <w:bCs/>
        </w:rPr>
        <w:t xml:space="preserve">. </w:t>
      </w:r>
      <w:r w:rsidR="00282EFB" w:rsidRPr="00BD7F4B">
        <w:rPr>
          <w:b/>
          <w:bCs/>
        </w:rPr>
        <w:t>6</w:t>
      </w:r>
      <w:r w:rsidRPr="00BD7F4B">
        <w:rPr>
          <w:b/>
          <w:bCs/>
        </w:rPr>
        <w:t xml:space="preserve">B et </w:t>
      </w:r>
      <w:r w:rsidR="00282EFB" w:rsidRPr="00BD7F4B">
        <w:rPr>
          <w:b/>
          <w:bCs/>
        </w:rPr>
        <w:t>6</w:t>
      </w:r>
      <w:r w:rsidRPr="00BD7F4B">
        <w:rPr>
          <w:b/>
          <w:bCs/>
        </w:rPr>
        <w:t>D).</w:t>
      </w:r>
    </w:p>
    <w:p w:rsidR="00823A48" w:rsidRPr="00BD7F4B" w:rsidRDefault="00823A48" w:rsidP="00B93B1B">
      <w:pPr>
        <w:autoSpaceDE w:val="0"/>
        <w:autoSpaceDN w:val="0"/>
        <w:adjustRightInd w:val="0"/>
        <w:ind w:firstLine="567"/>
        <w:jc w:val="both"/>
        <w:rPr>
          <w:b/>
          <w:bCs/>
          <w:lang w:bidi="ar-MA"/>
        </w:rPr>
      </w:pPr>
      <w:r w:rsidRPr="00BD7F4B">
        <w:t xml:space="preserve">Il est nécessaire de noter qu’il est difficile, dans le cas du phosphate, de rapprocher simplement les résultats des pertes de masse issus ATD-ATG avec la matière organique et les carbonates. Nous pouvons noter la complexité des phénomènes et, dans les différents phosphates, un très large domaine de température pour les évolutions observées. Cela peut être due à autres impuretés tel que le quartz qui se transforme de α en </w:t>
      </w:r>
      <w:r w:rsidRPr="00BD7F4B">
        <w:rPr>
          <w:sz w:val="23"/>
          <w:szCs w:val="23"/>
        </w:rPr>
        <w:t xml:space="preserve">β </w:t>
      </w:r>
      <w:r w:rsidR="005416E9" w:rsidRPr="00BD7F4B">
        <w:rPr>
          <w:b/>
          <w:bCs/>
        </w:rPr>
        <w:t>[38]</w:t>
      </w:r>
      <w:r w:rsidRPr="00BD7F4B">
        <w:rPr>
          <w:b/>
          <w:bCs/>
          <w:lang w:bidi="ar-MA"/>
        </w:rPr>
        <w:t>.</w:t>
      </w:r>
    </w:p>
    <w:p w:rsidR="00823A48" w:rsidRPr="00BD7F4B" w:rsidRDefault="00823A48" w:rsidP="00A36AC9">
      <w:pPr>
        <w:autoSpaceDE w:val="0"/>
        <w:autoSpaceDN w:val="0"/>
        <w:adjustRightInd w:val="0"/>
        <w:ind w:firstLine="567"/>
        <w:jc w:val="both"/>
      </w:pPr>
      <w:r w:rsidRPr="00BD7F4B">
        <w:t>Nous pouvons raisonnablement expliquer cette différence dans les courbes par les différents phénomènes invoqués à savoir: l’évolution des masses en l’ATD-ATG; l’évolution thermique du solide procède par perte de gaz comme le CO</w:t>
      </w:r>
      <w:r w:rsidRPr="00BD7F4B">
        <w:rPr>
          <w:vertAlign w:val="subscript"/>
        </w:rPr>
        <w:t>2</w:t>
      </w:r>
      <w:r w:rsidRPr="00BD7F4B">
        <w:t>, le CO et l’hydrogène lesquels peuvent conduire à des signaux forts mais induisent des pertes de masse relativement faibles en thermogravimétrie.</w:t>
      </w:r>
    </w:p>
    <w:p w:rsidR="00CE0FF4" w:rsidRPr="00BD7F4B" w:rsidRDefault="004C12F8" w:rsidP="004C12F8">
      <w:pPr>
        <w:spacing w:before="240" w:after="240"/>
        <w:jc w:val="center"/>
        <w:rPr>
          <w:b/>
          <w:bCs/>
          <w:sz w:val="28"/>
          <w:szCs w:val="28"/>
        </w:rPr>
      </w:pPr>
      <w:r w:rsidRPr="00BD7F4B">
        <w:rPr>
          <w:b/>
          <w:bCs/>
          <w:sz w:val="28"/>
          <w:szCs w:val="28"/>
        </w:rPr>
        <w:t>6. ANALYSES ET DISCUSSIONS</w:t>
      </w:r>
    </w:p>
    <w:p w:rsidR="00596537" w:rsidRPr="00BD7F4B" w:rsidRDefault="00596537" w:rsidP="004C12F8">
      <w:pPr>
        <w:autoSpaceDE w:val="0"/>
        <w:autoSpaceDN w:val="0"/>
        <w:adjustRightInd w:val="0"/>
        <w:ind w:firstLine="567"/>
        <w:jc w:val="both"/>
      </w:pPr>
      <w:r w:rsidRPr="00BD7F4B">
        <w:t>Les résultats obtenus par analyses chimiques montrent que les pourcentages massiques en P</w:t>
      </w:r>
      <w:r w:rsidRPr="00BD7F4B">
        <w:rPr>
          <w:vertAlign w:val="subscript"/>
        </w:rPr>
        <w:t>2</w:t>
      </w:r>
      <w:r w:rsidRPr="00BD7F4B">
        <w:t>O</w:t>
      </w:r>
      <w:r w:rsidRPr="00BD7F4B">
        <w:rPr>
          <w:vertAlign w:val="subscript"/>
        </w:rPr>
        <w:t>5</w:t>
      </w:r>
      <w:r w:rsidRPr="00BD7F4B">
        <w:t xml:space="preserve"> et en CaO sont supérieurs dans le mélange à chaud (D) à ceux du mélange à froid (C), alors qu’inversement, les pourcentages massiques en C</w:t>
      </w:r>
      <w:r w:rsidRPr="00BD7F4B">
        <w:rPr>
          <w:vertAlign w:val="subscript"/>
        </w:rPr>
        <w:t>org</w:t>
      </w:r>
      <w:r w:rsidRPr="00BD7F4B">
        <w:t xml:space="preserve"> et en CO</w:t>
      </w:r>
      <w:r w:rsidRPr="00BD7F4B">
        <w:rPr>
          <w:vertAlign w:val="subscript"/>
        </w:rPr>
        <w:t>2</w:t>
      </w:r>
      <w:r w:rsidRPr="00BD7F4B">
        <w:t xml:space="preserve"> diminuent dans le mélange à chaud suite aux réactions de décarbonatation et d’oxydation de la matière organique pendant le cycle de refroidissement, d’une part, et que d’autre part, la composition chimique du phosphate calciné et celle du phosphate mélangé à chaud est très similaire pour un ajout d’une quantité de 33% </w:t>
      </w:r>
      <w:r w:rsidRPr="00BD7F4B">
        <w:rPr>
          <w:b/>
          <w:bCs/>
        </w:rPr>
        <w:t>(</w:t>
      </w:r>
      <w:r w:rsidR="00282EFB" w:rsidRPr="00BD7F4B">
        <w:rPr>
          <w:b/>
          <w:bCs/>
        </w:rPr>
        <w:t>tab</w:t>
      </w:r>
      <w:r w:rsidR="004C12F8" w:rsidRPr="00BD7F4B">
        <w:rPr>
          <w:b/>
          <w:bCs/>
        </w:rPr>
        <w:t>. 3</w:t>
      </w:r>
      <w:r w:rsidRPr="00BD7F4B">
        <w:rPr>
          <w:b/>
          <w:bCs/>
        </w:rPr>
        <w:t>)</w:t>
      </w:r>
      <w:r w:rsidRPr="00BD7F4B">
        <w:t>. Cela est justifié par les</w:t>
      </w:r>
      <w:r w:rsidR="00D104D0" w:rsidRPr="00BD7F4B">
        <w:t xml:space="preserve"> différentes méthodes d’analyse</w:t>
      </w:r>
      <w:r w:rsidRPr="00BD7F4B">
        <w:t xml:space="preserve"> utilisées. Ainsi, les informations données par les RX des phosphates A, B et D mettent en évidence des mêmes phases pour les deux types du phosphate (calciné et mélangé à chaud), à l’exception du fait que l’on note une valeur très faible des phénomènes exothermiques d’oxydation de la matière organique et l’atténuation du phénomène endothermique de décomposition des carbonates sur la courbe du mélange à chaud (D) </w:t>
      </w:r>
      <w:r w:rsidRPr="00BD7F4B">
        <w:rPr>
          <w:b/>
          <w:bCs/>
        </w:rPr>
        <w:t xml:space="preserve">(figure. </w:t>
      </w:r>
      <w:r w:rsidR="004C12F8" w:rsidRPr="00BD7F4B">
        <w:rPr>
          <w:b/>
          <w:bCs/>
        </w:rPr>
        <w:t>5</w:t>
      </w:r>
      <w:r w:rsidRPr="00BD7F4B">
        <w:rPr>
          <w:b/>
          <w:bCs/>
        </w:rPr>
        <w:t>)</w:t>
      </w:r>
      <w:r w:rsidRPr="00BD7F4B">
        <w:t xml:space="preserve">. En outre, les chevauchements dus aux interférences entre les pics des impuretés et les pics de l'apatite peuvent être aussi enlevés pendant le traitement thermique par mélange à chaud. Par ailleurs, Nous pouvons observer globalement des allures quasi similaires sur les courbes de l’ATD-ATG </w:t>
      </w:r>
      <w:r w:rsidRPr="00BD7F4B">
        <w:rPr>
          <w:b/>
          <w:bCs/>
        </w:rPr>
        <w:t xml:space="preserve">(figure. </w:t>
      </w:r>
      <w:r w:rsidR="004C12F8" w:rsidRPr="00BD7F4B">
        <w:rPr>
          <w:b/>
          <w:bCs/>
        </w:rPr>
        <w:t>6</w:t>
      </w:r>
      <w:r w:rsidRPr="00BD7F4B">
        <w:rPr>
          <w:b/>
          <w:bCs/>
        </w:rPr>
        <w:t>)</w:t>
      </w:r>
      <w:r w:rsidRPr="00BD7F4B">
        <w:t>, un écart de perte de masse entre les phosphates B et D est de l’ordre de 1 %.</w:t>
      </w:r>
    </w:p>
    <w:p w:rsidR="00081D06" w:rsidRPr="00BD7F4B" w:rsidRDefault="00081D06" w:rsidP="009F35C6">
      <w:pPr>
        <w:ind w:firstLine="567"/>
        <w:jc w:val="both"/>
      </w:pPr>
      <w:r w:rsidRPr="00BD7F4B">
        <w:t xml:space="preserve">Pour ce qui concerne la granulométrie, nous avons constaté que la distribution granulométrique du phosphate produit varie en fonction des vitesses de la calcination et du refroidissement. On a ainsi noté une diminution des pourcentages de refus ayant une tranche qui se concentre entre 160 et 350 μm pour les phosphates traités B et D avec prés de 93% </w:t>
      </w:r>
      <w:r w:rsidRPr="00BD7F4B">
        <w:rPr>
          <w:b/>
          <w:bCs/>
        </w:rPr>
        <w:t>(</w:t>
      </w:r>
      <w:r w:rsidR="00282EFB" w:rsidRPr="00BD7F4B">
        <w:rPr>
          <w:b/>
          <w:bCs/>
        </w:rPr>
        <w:t>tab</w:t>
      </w:r>
      <w:r w:rsidRPr="00BD7F4B">
        <w:rPr>
          <w:b/>
          <w:bCs/>
        </w:rPr>
        <w:t>. 4)</w:t>
      </w:r>
      <w:r w:rsidRPr="00BD7F4B">
        <w:t>. Cette variation est due à la rupture des gros grains par élévation rapide de la température à l’intérieur des particules du phosphate ajouté au mélange à chaud; en raison des réactions de déshydratation, d’oxydation de la matière organique et de décomposition des carbonates qui conduisent à la formation de la vapeur d’eau et du CO</w:t>
      </w:r>
      <w:r w:rsidRPr="00BD7F4B">
        <w:rPr>
          <w:vertAlign w:val="subscript"/>
        </w:rPr>
        <w:t>2</w:t>
      </w:r>
      <w:r w:rsidRPr="00BD7F4B">
        <w:t>. Ces derniers créent localement des surpressions entraînant une fissuration des grains réagissant et leur dégagement très rapide. La matrice devenant déformable sous l’effet de la chaleur. Ainsi, les fines qui provoquent une augmentation de la température de la bouillie lors de l’attaque, ont une quantité moindre dans le phosphate mélangé à chaud qui peut s’expliquer par le collage des fines entre eux et sur l</w:t>
      </w:r>
      <w:r w:rsidR="009F35C6" w:rsidRPr="00BD7F4B">
        <w:t>es gros grains. Ceci nous permit</w:t>
      </w:r>
      <w:r w:rsidRPr="00BD7F4B">
        <w:t xml:space="preserve"> d’éviter le problème d’élimination quotidienne des fines qui posent </w:t>
      </w:r>
      <w:r w:rsidRPr="00BD7F4B">
        <w:rPr>
          <w:rStyle w:val="longtext"/>
        </w:rPr>
        <w:t>un problème croissant de l’environnement et de perte du phosphore.</w:t>
      </w:r>
      <w:r w:rsidRPr="00BD7F4B">
        <w:t xml:space="preserve"> Il en résulte, une augmentation de la surface spécifique et de la porosité avec diminution de la densité et donc, l’augmentation de la réactivité et de la solubilité et limitation du taux de sédimentation de la pulpe du phosphate et de la bouillé lors de la production d’acide phosphorique. Par conséquent, l’effet de la granulométrie s’ajoute </w:t>
      </w:r>
      <w:r w:rsidR="005416E9" w:rsidRPr="00BD7F4B">
        <w:rPr>
          <w:b/>
          <w:bCs/>
        </w:rPr>
        <w:t>[6; 39; 40]</w:t>
      </w:r>
      <w:r w:rsidRPr="00BD7F4B">
        <w:t>.</w:t>
      </w:r>
    </w:p>
    <w:p w:rsidR="00081D06" w:rsidRPr="00BD7F4B" w:rsidRDefault="00081D06" w:rsidP="001E0E34">
      <w:pPr>
        <w:ind w:firstLine="567"/>
        <w:jc w:val="both"/>
        <w:rPr>
          <w:shd w:val="clear" w:color="auto" w:fill="FFFFFF"/>
        </w:rPr>
      </w:pPr>
      <w:r w:rsidRPr="00BD7F4B">
        <w:t>Par ailleurs, on note que les phénomènes de décarbonatation thermique, suivi d’une recarbonatation à froid améliore le paramètre "a" du réseau cristallin ont des conséquences importantes pour l</w:t>
      </w:r>
      <w:r w:rsidR="001E0E34" w:rsidRPr="00BD7F4B">
        <w:t>a</w:t>
      </w:r>
      <w:r w:rsidRPr="00BD7F4B">
        <w:t xml:space="preserve"> valorisation d</w:t>
      </w:r>
      <w:r w:rsidR="001E0E34" w:rsidRPr="00BD7F4B">
        <w:t>u</w:t>
      </w:r>
      <w:r w:rsidRPr="00BD7F4B">
        <w:t xml:space="preserve"> minerai </w:t>
      </w:r>
      <w:r w:rsidRPr="00BD7F4B">
        <w:rPr>
          <w:b/>
          <w:bCs/>
        </w:rPr>
        <w:t>[13]</w:t>
      </w:r>
      <w:r w:rsidRPr="00BD7F4B">
        <w:t xml:space="preserve"> et par conséquent, </w:t>
      </w:r>
      <w:r w:rsidRPr="00BD7F4B">
        <w:rPr>
          <w:rStyle w:val="longtext"/>
        </w:rPr>
        <w:t xml:space="preserve">la vitesse de refroidissement et de décarbonatation a un impact positif sur la performance des propriétés physiques. La diminution brutale de la température peut être attribuée aux changements structurels qui surviennent dans la structure et la distribution des pores des échantillons du phosphate lors du </w:t>
      </w:r>
      <w:r w:rsidRPr="00BD7F4B">
        <w:rPr>
          <w:shd w:val="clear" w:color="auto" w:fill="FFFFFF"/>
        </w:rPr>
        <w:t>mélange à chaud avec absence du</w:t>
      </w:r>
      <w:r w:rsidRPr="00BD7F4B">
        <w:rPr>
          <w:rStyle w:val="hps"/>
        </w:rPr>
        <w:t xml:space="preserve"> phénomène d</w:t>
      </w:r>
      <w:r w:rsidRPr="00BD7F4B">
        <w:rPr>
          <w:rStyle w:val="longtext"/>
        </w:rPr>
        <w:t>’agglomération et d’agrégation</w:t>
      </w:r>
      <w:r w:rsidRPr="00BD7F4B">
        <w:t xml:space="preserve"> sur les parois du lit</w:t>
      </w:r>
      <w:r w:rsidRPr="00BD7F4B">
        <w:rPr>
          <w:shd w:val="clear" w:color="auto" w:fill="FFFFFF"/>
        </w:rPr>
        <w:t>.</w:t>
      </w:r>
    </w:p>
    <w:p w:rsidR="00CE0FF4" w:rsidRPr="00BD7F4B" w:rsidRDefault="00152C88" w:rsidP="00D46337">
      <w:pPr>
        <w:tabs>
          <w:tab w:val="center" w:pos="540"/>
        </w:tabs>
        <w:spacing w:before="240" w:after="240"/>
        <w:jc w:val="center"/>
        <w:rPr>
          <w:b/>
          <w:bCs/>
          <w:sz w:val="28"/>
          <w:szCs w:val="28"/>
          <w:lang w:bidi="he-IL"/>
        </w:rPr>
      </w:pPr>
      <w:r w:rsidRPr="00BD7F4B">
        <w:rPr>
          <w:b/>
          <w:bCs/>
          <w:sz w:val="28"/>
          <w:szCs w:val="28"/>
          <w:lang w:bidi="he-IL"/>
        </w:rPr>
        <w:t>7.</w:t>
      </w:r>
      <w:r w:rsidR="00CE0FF4" w:rsidRPr="00BD7F4B">
        <w:rPr>
          <w:b/>
          <w:bCs/>
          <w:sz w:val="28"/>
          <w:szCs w:val="28"/>
          <w:lang w:bidi="he-IL"/>
        </w:rPr>
        <w:t xml:space="preserve"> </w:t>
      </w:r>
      <w:r w:rsidR="00D46337" w:rsidRPr="00BD7F4B">
        <w:rPr>
          <w:b/>
          <w:bCs/>
          <w:sz w:val="28"/>
          <w:szCs w:val="28"/>
          <w:lang w:bidi="he-IL"/>
        </w:rPr>
        <w:t>CONCLUSION</w:t>
      </w:r>
    </w:p>
    <w:p w:rsidR="00C502BD" w:rsidRPr="00BD7F4B" w:rsidRDefault="00C502BD" w:rsidP="00D104D0">
      <w:pPr>
        <w:ind w:firstLine="567"/>
        <w:jc w:val="both"/>
      </w:pPr>
      <w:r w:rsidRPr="00BD7F4B">
        <w:t>Dans ce travail nous avons étudié la dégradation thermique des constituants du phosphate mélangé à chaud par plusieurs méthodes d’analyse. Celles-ci nous indiquent la montée ou la descente de la température et le type du mélange du phosphate (homogénéité vérifiée ou pas) ont un effet sur les mécanismes de décarbonatation thermique. Nous avons, également, étudié l’efficacité de la minimisation énergétique par récupération de l’énergie perdue au cours du cycle de refroidissement du phosphate calciné et son utilisation pour traiter une autre quantité du phosphate brut provenant de la même source.</w:t>
      </w:r>
    </w:p>
    <w:p w:rsidR="00C502BD" w:rsidRPr="00BD7F4B" w:rsidRDefault="00C502BD" w:rsidP="00A36AC9">
      <w:pPr>
        <w:ind w:firstLine="567"/>
        <w:jc w:val="both"/>
      </w:pPr>
      <w:r w:rsidRPr="00BD7F4B">
        <w:t>Par ailleurs, la comparaison des teneurs, en C</w:t>
      </w:r>
      <w:r w:rsidRPr="00BD7F4B">
        <w:rPr>
          <w:vertAlign w:val="subscript"/>
        </w:rPr>
        <w:t>Org</w:t>
      </w:r>
      <w:r w:rsidRPr="00BD7F4B">
        <w:t>, CO</w:t>
      </w:r>
      <w:r w:rsidRPr="00BD7F4B">
        <w:rPr>
          <w:vertAlign w:val="subscript"/>
        </w:rPr>
        <w:t>2</w:t>
      </w:r>
      <w:r w:rsidRPr="00BD7F4B">
        <w:t>, P</w:t>
      </w:r>
      <w:r w:rsidRPr="00BD7F4B">
        <w:rPr>
          <w:vertAlign w:val="subscript"/>
        </w:rPr>
        <w:t>2</w:t>
      </w:r>
      <w:r w:rsidRPr="00BD7F4B">
        <w:t>O</w:t>
      </w:r>
      <w:r w:rsidRPr="00BD7F4B">
        <w:rPr>
          <w:vertAlign w:val="subscript"/>
        </w:rPr>
        <w:t>5</w:t>
      </w:r>
      <w:r w:rsidRPr="00BD7F4B">
        <w:t xml:space="preserve"> et CaO respectives des mélanges du phosphate à froid et à chaud avec celles du phosphate calciné, permet d’avancer que l’ajout d’une quantité de 33 % de phosphate brut au début du cycle de refroidissement du phosphate calciné à </w:t>
      </w:r>
      <w:smartTag w:uri="urn:schemas-microsoft-com:office:smarttags" w:element="metricconverter">
        <w:smartTagPr>
          <w:attr w:name="ProductID" w:val="800ﾰC"/>
        </w:smartTagPr>
        <w:r w:rsidRPr="00BD7F4B">
          <w:t>800</w:t>
        </w:r>
        <w:r w:rsidRPr="00BD7F4B">
          <w:rPr>
            <w:rFonts w:eastAsia="Pxsy"/>
          </w:rPr>
          <w:t>°</w:t>
        </w:r>
        <w:r w:rsidRPr="00BD7F4B">
          <w:t>C</w:t>
        </w:r>
      </w:smartTag>
      <w:r w:rsidRPr="00BD7F4B">
        <w:t xml:space="preserve"> fournit un concentré de phosphate de meilleure qualité. Ce protocole présente donc, des retombées très positives sur l’économie de l’énergie et l’augmentation de la productivité d’un concentré de phosphate de meilleure qualité, tout en préservant l’environnement avec une diminution d'environ d’un tiers (1/3) de la quantité émise du CO</w:t>
      </w:r>
      <w:r w:rsidRPr="00BD7F4B">
        <w:rPr>
          <w:vertAlign w:val="subscript"/>
        </w:rPr>
        <w:t>2</w:t>
      </w:r>
      <w:r w:rsidRPr="00BD7F4B">
        <w:t xml:space="preserve"> résultant du carburant correspond au traitement de 33% du phosphate ajouté. Nous avons; également, constaté l’impact du refroidissement sur la distribution granulométrique, et par conséquent; sur les propriétés physiques.</w:t>
      </w:r>
    </w:p>
    <w:p w:rsidR="00152C88" w:rsidRPr="00BD7F4B" w:rsidRDefault="00152C88" w:rsidP="00D46337">
      <w:pPr>
        <w:spacing w:before="240" w:after="240"/>
        <w:jc w:val="center"/>
        <w:rPr>
          <w:b/>
          <w:bCs/>
          <w:sz w:val="28"/>
          <w:szCs w:val="28"/>
        </w:rPr>
      </w:pPr>
      <w:r w:rsidRPr="00BD7F4B">
        <w:rPr>
          <w:b/>
          <w:bCs/>
          <w:sz w:val="28"/>
          <w:szCs w:val="28"/>
        </w:rPr>
        <w:t xml:space="preserve">8. </w:t>
      </w:r>
      <w:r w:rsidR="00D46337" w:rsidRPr="00BD7F4B">
        <w:rPr>
          <w:b/>
          <w:bCs/>
          <w:sz w:val="28"/>
          <w:szCs w:val="28"/>
        </w:rPr>
        <w:t>REFERENCES</w:t>
      </w:r>
    </w:p>
    <w:p w:rsidR="002872DC" w:rsidRPr="00BD7F4B" w:rsidRDefault="002872DC" w:rsidP="002872DC">
      <w:pPr>
        <w:jc w:val="both"/>
        <w:rPr>
          <w:lang w:val="en-US"/>
        </w:rPr>
      </w:pPr>
      <w:r w:rsidRPr="00BD7F4B">
        <w:rPr>
          <w:lang w:val="en-US"/>
        </w:rPr>
        <w:t xml:space="preserve">[1] S. Cooper, C. J. Coronella, </w:t>
      </w:r>
      <w:r w:rsidRPr="00BD7F4B">
        <w:rPr>
          <w:i/>
          <w:iCs/>
          <w:lang w:val="en-US"/>
        </w:rPr>
        <w:t>CFD simulations of particle mixing in a binary fluidized bed</w:t>
      </w:r>
      <w:r w:rsidRPr="00BD7F4B">
        <w:rPr>
          <w:lang w:val="en-US"/>
        </w:rPr>
        <w:t>, Powder Technology, Vol 151 (1-3) 27 – 36, 2005.</w:t>
      </w:r>
    </w:p>
    <w:p w:rsidR="00FC65C5" w:rsidRPr="00BD7F4B" w:rsidRDefault="00FC65C5" w:rsidP="009F35C6">
      <w:pPr>
        <w:jc w:val="both"/>
      </w:pPr>
      <w:r w:rsidRPr="00BD7F4B">
        <w:t>[2] Bilali, L., BenChanaa, M., El Harfi, K. Mokhlisse, A. outzourhi</w:t>
      </w:r>
      <w:r w:rsidR="009F35C6" w:rsidRPr="00BD7F4B">
        <w:t>t, J. Anal. Appl. Pyrolysis, Vol 73,</w:t>
      </w:r>
      <w:r w:rsidRPr="00BD7F4B">
        <w:t xml:space="preserve"> 1–15</w:t>
      </w:r>
      <w:r w:rsidR="009F35C6" w:rsidRPr="00BD7F4B">
        <w:t>, 2005</w:t>
      </w:r>
      <w:r w:rsidRPr="00BD7F4B">
        <w:t>.</w:t>
      </w:r>
    </w:p>
    <w:p w:rsidR="00FC65C5" w:rsidRPr="00BD7F4B" w:rsidRDefault="00FC65C5" w:rsidP="0038628D">
      <w:pPr>
        <w:jc w:val="both"/>
      </w:pPr>
      <w:r w:rsidRPr="00BD7F4B">
        <w:t xml:space="preserve">[3] J. Ramaroson, </w:t>
      </w:r>
      <w:r w:rsidRPr="00BD7F4B">
        <w:rPr>
          <w:i/>
          <w:iCs/>
        </w:rPr>
        <w:t xml:space="preserve">Calcination des </w:t>
      </w:r>
      <w:r w:rsidR="0038628D" w:rsidRPr="00BD7F4B">
        <w:rPr>
          <w:i/>
          <w:iCs/>
        </w:rPr>
        <w:t>Sédiments de Dragage Contaminés : é</w:t>
      </w:r>
      <w:r w:rsidRPr="00BD7F4B">
        <w:rPr>
          <w:i/>
          <w:iCs/>
        </w:rPr>
        <w:t>tude des Propriétés Physico-chimiques</w:t>
      </w:r>
      <w:r w:rsidRPr="00BD7F4B">
        <w:t xml:space="preserve">, </w:t>
      </w:r>
      <w:r w:rsidR="0038628D" w:rsidRPr="00BD7F4B">
        <w:t>thèse de l’INSA de Lyon, 2008</w:t>
      </w:r>
      <w:r w:rsidRPr="00BD7F4B">
        <w:t>.</w:t>
      </w:r>
    </w:p>
    <w:p w:rsidR="0038628D" w:rsidRPr="00BD7F4B" w:rsidRDefault="00FC65C5" w:rsidP="0038628D">
      <w:pPr>
        <w:jc w:val="both"/>
      </w:pPr>
      <w:r w:rsidRPr="00BD7F4B">
        <w:t xml:space="preserve">[4] </w:t>
      </w:r>
      <w:r w:rsidR="0038628D" w:rsidRPr="00BD7F4B">
        <w:t xml:space="preserve">M. El Ouardi, </w:t>
      </w:r>
      <w:r w:rsidR="0038628D" w:rsidRPr="00BD7F4B">
        <w:rPr>
          <w:i/>
          <w:iCs/>
        </w:rPr>
        <w:t>Étude de la calcination du phosphate clair de Youssoufia (Maroc),</w:t>
      </w:r>
      <w:r w:rsidR="0038628D" w:rsidRPr="00BD7F4B">
        <w:t xml:space="preserve"> Afrique SCIENCE: Revue Internationale des Sciences et Technologie 04(2) (2008) 199 – 211.</w:t>
      </w:r>
    </w:p>
    <w:p w:rsidR="00FC65C5" w:rsidRPr="00BD7F4B" w:rsidRDefault="00FC65C5" w:rsidP="0038628D">
      <w:pPr>
        <w:autoSpaceDE w:val="0"/>
        <w:autoSpaceDN w:val="0"/>
        <w:adjustRightInd w:val="0"/>
        <w:jc w:val="both"/>
        <w:rPr>
          <w:lang w:val="en-US"/>
        </w:rPr>
      </w:pPr>
      <w:r w:rsidRPr="00BD7F4B">
        <w:rPr>
          <w:lang w:val="en-US"/>
        </w:rPr>
        <w:t>[5] A. K. Özer, M. Ş. Gülaboģlu, W. Weisweiler, flue gasulfurization with phosphate rock in a fluidized bed, Fuel</w:t>
      </w:r>
      <w:r w:rsidR="0038628D" w:rsidRPr="00BD7F4B">
        <w:rPr>
          <w:lang w:val="en-US"/>
        </w:rPr>
        <w:t>, Vol</w:t>
      </w:r>
      <w:r w:rsidRPr="00BD7F4B">
        <w:rPr>
          <w:lang w:val="en-US"/>
        </w:rPr>
        <w:t xml:space="preserve"> 81</w:t>
      </w:r>
      <w:r w:rsidR="0038628D" w:rsidRPr="00BD7F4B">
        <w:rPr>
          <w:lang w:val="en-US"/>
        </w:rPr>
        <w:t>,</w:t>
      </w:r>
      <w:r w:rsidRPr="00BD7F4B">
        <w:rPr>
          <w:lang w:val="en-US"/>
        </w:rPr>
        <w:t xml:space="preserve"> 41- 49</w:t>
      </w:r>
      <w:r w:rsidR="0038628D" w:rsidRPr="00BD7F4B">
        <w:rPr>
          <w:lang w:val="en-US"/>
        </w:rPr>
        <w:t>, 2002</w:t>
      </w:r>
      <w:r w:rsidRPr="00BD7F4B">
        <w:rPr>
          <w:lang w:val="en-US"/>
        </w:rPr>
        <w:t>.</w:t>
      </w:r>
    </w:p>
    <w:p w:rsidR="00FC65C5" w:rsidRPr="00BD7F4B" w:rsidRDefault="00FC65C5" w:rsidP="0038628D">
      <w:pPr>
        <w:autoSpaceDE w:val="0"/>
        <w:autoSpaceDN w:val="0"/>
        <w:adjustRightInd w:val="0"/>
        <w:jc w:val="both"/>
      </w:pPr>
      <w:r w:rsidRPr="00BD7F4B">
        <w:t xml:space="preserve">[6] K. Souhila, </w:t>
      </w:r>
      <w:r w:rsidRPr="00BD7F4B">
        <w:rPr>
          <w:i/>
          <w:iCs/>
        </w:rPr>
        <w:t>décomposition des matières organiques et stabilisation des métaux lourds dans les sidéments de dragage</w:t>
      </w:r>
      <w:r w:rsidRPr="00BD7F4B">
        <w:t>, thèse de l’INSA de Lyon</w:t>
      </w:r>
      <w:r w:rsidR="0038628D" w:rsidRPr="00BD7F4B">
        <w:t xml:space="preserve">, </w:t>
      </w:r>
      <w:r w:rsidRPr="00BD7F4B">
        <w:t>2005.</w:t>
      </w:r>
    </w:p>
    <w:p w:rsidR="00FC65C5" w:rsidRPr="00BD7F4B" w:rsidRDefault="00FC65C5" w:rsidP="006E49A7">
      <w:pPr>
        <w:jc w:val="both"/>
        <w:rPr>
          <w:lang w:val="en-US"/>
        </w:rPr>
      </w:pPr>
      <w:r w:rsidRPr="00BD7F4B">
        <w:t xml:space="preserve">[7] M. El Ouardi, L. Saadi, M. Waqif, H. Chehouani, I. Mrani, M. Anoua, A. Noubhani, </w:t>
      </w:r>
      <w:r w:rsidRPr="00BD7F4B">
        <w:rPr>
          <w:i/>
          <w:iCs/>
        </w:rPr>
        <w:t>caractérisation du phosphate de bouchane (Maroc) et étude de l’évolution des principaux constituants du contrôle de sa calcination,</w:t>
      </w:r>
      <w:r w:rsidRPr="00BD7F4B">
        <w:t xml:space="preserve"> Phys. </w:t>
      </w:r>
      <w:r w:rsidRPr="00BD7F4B">
        <w:rPr>
          <w:lang w:val="en-US"/>
        </w:rPr>
        <w:t>Chem. News</w:t>
      </w:r>
      <w:r w:rsidR="006E49A7" w:rsidRPr="00BD7F4B">
        <w:rPr>
          <w:lang w:val="en-US"/>
        </w:rPr>
        <w:t>, Vol</w:t>
      </w:r>
      <w:r w:rsidRPr="00BD7F4B">
        <w:rPr>
          <w:lang w:val="en-US"/>
        </w:rPr>
        <w:t xml:space="preserve"> 54</w:t>
      </w:r>
      <w:r w:rsidR="006E49A7" w:rsidRPr="00BD7F4B">
        <w:rPr>
          <w:lang w:val="en-US"/>
        </w:rPr>
        <w:t>,</w:t>
      </w:r>
      <w:r w:rsidRPr="00BD7F4B">
        <w:rPr>
          <w:lang w:val="en-US"/>
        </w:rPr>
        <w:t xml:space="preserve"> 68-75</w:t>
      </w:r>
      <w:r w:rsidR="006E49A7" w:rsidRPr="00BD7F4B">
        <w:rPr>
          <w:lang w:val="en-US"/>
        </w:rPr>
        <w:t>, 2010</w:t>
      </w:r>
      <w:r w:rsidRPr="00BD7F4B">
        <w:rPr>
          <w:lang w:val="en-US"/>
        </w:rPr>
        <w:t>.</w:t>
      </w:r>
    </w:p>
    <w:p w:rsidR="00FC65C5" w:rsidRPr="00BD7F4B" w:rsidRDefault="00FC65C5" w:rsidP="006E49A7">
      <w:pPr>
        <w:autoSpaceDE w:val="0"/>
        <w:autoSpaceDN w:val="0"/>
        <w:adjustRightInd w:val="0"/>
        <w:jc w:val="both"/>
        <w:rPr>
          <w:lang w:val="en-GB"/>
        </w:rPr>
      </w:pPr>
      <w:r w:rsidRPr="00BD7F4B">
        <w:rPr>
          <w:lang w:val="en-US"/>
        </w:rPr>
        <w:t>[8]</w:t>
      </w:r>
      <w:r w:rsidRPr="00BD7F4B">
        <w:rPr>
          <w:lang w:val="en-US" w:bidi="ar-MA"/>
        </w:rPr>
        <w:t xml:space="preserve"> </w:t>
      </w:r>
      <w:r w:rsidRPr="00BD7F4B">
        <w:rPr>
          <w:lang w:val="en-GB"/>
        </w:rPr>
        <w:t>Z. I. Zafar, M.M. Anwar, D.W. Pritchard, optimization of thermal beneficiation of a low grade dolomitic phosphate rock, Int. J. Miner. Process.</w:t>
      </w:r>
      <w:r w:rsidR="006E49A7" w:rsidRPr="00BD7F4B">
        <w:rPr>
          <w:lang w:val="en-GB"/>
        </w:rPr>
        <w:t>, Vol 43,</w:t>
      </w:r>
      <w:r w:rsidRPr="00BD7F4B">
        <w:rPr>
          <w:lang w:val="en-GB"/>
        </w:rPr>
        <w:t xml:space="preserve"> 123-131</w:t>
      </w:r>
      <w:r w:rsidR="006E49A7" w:rsidRPr="00BD7F4B">
        <w:rPr>
          <w:lang w:val="en-GB"/>
        </w:rPr>
        <w:t>, 1995</w:t>
      </w:r>
      <w:r w:rsidRPr="00BD7F4B">
        <w:rPr>
          <w:lang w:val="en-GB"/>
        </w:rPr>
        <w:t>.</w:t>
      </w:r>
    </w:p>
    <w:p w:rsidR="00FC65C5" w:rsidRPr="00BD7F4B" w:rsidRDefault="00FC65C5" w:rsidP="00FC65C5">
      <w:pPr>
        <w:jc w:val="both"/>
        <w:rPr>
          <w:lang w:val="en-GB"/>
        </w:rPr>
      </w:pPr>
      <w:r w:rsidRPr="00BD7F4B">
        <w:rPr>
          <w:lang w:val="en-GB"/>
        </w:rPr>
        <w:t xml:space="preserve">[9] </w:t>
      </w:r>
      <w:r w:rsidRPr="00BD7F4B">
        <w:rPr>
          <w:lang w:val="en-US"/>
        </w:rPr>
        <w:t xml:space="preserve">Gharabaghi, M. Irannajad, M. Noaparast, </w:t>
      </w:r>
      <w:r w:rsidRPr="00BD7F4B">
        <w:rPr>
          <w:i/>
          <w:iCs/>
          <w:lang w:val="en-US"/>
        </w:rPr>
        <w:t>A review of the beneficiation of calcareous phosphate ores using organic acid leaching,</w:t>
      </w:r>
      <w:r w:rsidRPr="00BD7F4B">
        <w:rPr>
          <w:lang w:val="en-US"/>
        </w:rPr>
        <w:t xml:space="preserve"> </w:t>
      </w:r>
      <w:r w:rsidR="00715819" w:rsidRPr="00BD7F4B">
        <w:rPr>
          <w:lang w:val="en-US"/>
        </w:rPr>
        <w:t>Hydrometallurgy, Vol. 103, No. 1-4, 2010.</w:t>
      </w:r>
      <w:r w:rsidRPr="00BD7F4B">
        <w:rPr>
          <w:rStyle w:val="google-src-text1"/>
          <w:lang w:val="en-US"/>
        </w:rPr>
        <w:t>Hydrometallurgy 103 (2010) 96 – 107</w:t>
      </w:r>
    </w:p>
    <w:p w:rsidR="00FC65C5" w:rsidRPr="00BD7F4B" w:rsidRDefault="00FC65C5" w:rsidP="009F35C6">
      <w:pPr>
        <w:tabs>
          <w:tab w:val="left" w:pos="227"/>
        </w:tabs>
        <w:jc w:val="both"/>
        <w:rPr>
          <w:lang w:val="en-GB"/>
        </w:rPr>
      </w:pPr>
      <w:r w:rsidRPr="00BD7F4B">
        <w:rPr>
          <w:lang w:val="en-US"/>
        </w:rPr>
        <w:t>[10]</w:t>
      </w:r>
      <w:r w:rsidRPr="00BD7F4B">
        <w:rPr>
          <w:lang w:val="en-GB"/>
        </w:rPr>
        <w:t xml:space="preserve"> L. Bilali, M. BenChanaa, A. Mokhlisse, J. Electromagnetic and Microwave Power, </w:t>
      </w:r>
      <w:r w:rsidR="009F35C6" w:rsidRPr="00BD7F4B">
        <w:rPr>
          <w:lang w:val="en-GB"/>
        </w:rPr>
        <w:t>Vol 37 (3),</w:t>
      </w:r>
      <w:r w:rsidRPr="00BD7F4B">
        <w:rPr>
          <w:lang w:val="en-GB"/>
        </w:rPr>
        <w:t xml:space="preserve"> 145-166</w:t>
      </w:r>
      <w:r w:rsidR="009F35C6" w:rsidRPr="00BD7F4B">
        <w:rPr>
          <w:lang w:val="en-GB"/>
        </w:rPr>
        <w:t>, 2002</w:t>
      </w:r>
      <w:r w:rsidRPr="00BD7F4B">
        <w:rPr>
          <w:lang w:val="en-GB"/>
        </w:rPr>
        <w:t>.</w:t>
      </w:r>
    </w:p>
    <w:p w:rsidR="00FC65C5" w:rsidRPr="00BD7F4B" w:rsidRDefault="00FC65C5" w:rsidP="00FC65C5">
      <w:pPr>
        <w:tabs>
          <w:tab w:val="left" w:pos="227"/>
        </w:tabs>
        <w:jc w:val="both"/>
        <w:rPr>
          <w:lang w:val="en-US"/>
        </w:rPr>
      </w:pPr>
      <w:r w:rsidRPr="00BD7F4B">
        <w:rPr>
          <w:lang w:val="en-GB"/>
        </w:rPr>
        <w:t>[11]</w:t>
      </w:r>
      <w:r w:rsidRPr="00BD7F4B">
        <w:rPr>
          <w:lang w:val="en-US"/>
        </w:rPr>
        <w:t xml:space="preserve"> M. Khaddor, M. Ziyad, J, Joffre, A. Amblés, Chemical Geology, 186 (2002) 17-30.</w:t>
      </w:r>
    </w:p>
    <w:p w:rsidR="00FC65C5" w:rsidRPr="00BD7F4B" w:rsidRDefault="00FC65C5" w:rsidP="009F35C6">
      <w:pPr>
        <w:autoSpaceDE w:val="0"/>
        <w:autoSpaceDN w:val="0"/>
        <w:adjustRightInd w:val="0"/>
        <w:jc w:val="both"/>
        <w:rPr>
          <w:lang w:val="en-US"/>
        </w:rPr>
      </w:pPr>
      <w:r w:rsidRPr="00BD7F4B">
        <w:t xml:space="preserve">[12] L. Bilali, M. Benchanaa et A. Mokhlisse, Ann. </w:t>
      </w:r>
      <w:r w:rsidR="009F35C6" w:rsidRPr="00BD7F4B">
        <w:rPr>
          <w:lang w:val="en-US"/>
        </w:rPr>
        <w:t>Chim. Sci. Mat. Vol 25,</w:t>
      </w:r>
      <w:r w:rsidRPr="00BD7F4B">
        <w:rPr>
          <w:lang w:val="en-US"/>
        </w:rPr>
        <w:t xml:space="preserve"> 663-678</w:t>
      </w:r>
      <w:r w:rsidR="009F35C6" w:rsidRPr="00BD7F4B">
        <w:rPr>
          <w:lang w:val="en-US"/>
        </w:rPr>
        <w:t>, 2000</w:t>
      </w:r>
      <w:r w:rsidRPr="00BD7F4B">
        <w:rPr>
          <w:lang w:val="en-US"/>
        </w:rPr>
        <w:t>.</w:t>
      </w:r>
    </w:p>
    <w:p w:rsidR="00FC65C5" w:rsidRPr="00BD7F4B" w:rsidRDefault="00FC65C5" w:rsidP="00A250FF">
      <w:pPr>
        <w:widowControl w:val="0"/>
        <w:autoSpaceDE w:val="0"/>
        <w:autoSpaceDN w:val="0"/>
        <w:adjustRightInd w:val="0"/>
        <w:jc w:val="both"/>
        <w:rPr>
          <w:lang w:val="en-GB"/>
        </w:rPr>
      </w:pPr>
      <w:r w:rsidRPr="00BD7F4B">
        <w:rPr>
          <w:lang w:val="en-US"/>
        </w:rPr>
        <w:t>[13]</w:t>
      </w:r>
      <w:r w:rsidRPr="00BD7F4B">
        <w:rPr>
          <w:lang w:val="en-US" w:bidi="ar-MA"/>
        </w:rPr>
        <w:t xml:space="preserve"> </w:t>
      </w:r>
      <w:r w:rsidRPr="00BD7F4B">
        <w:rPr>
          <w:lang w:val="en-GB"/>
        </w:rPr>
        <w:t xml:space="preserve">P. Blazy et E.A. Jdid, </w:t>
      </w:r>
      <w:r w:rsidRPr="00BD7F4B">
        <w:rPr>
          <w:i/>
          <w:iCs/>
          <w:lang w:val="en-GB"/>
        </w:rPr>
        <w:t>calcination of calcareous sedimentary Akashat phosphate (Irak) using a rotary kiln and a flash furnace</w:t>
      </w:r>
      <w:r w:rsidRPr="00BD7F4B">
        <w:rPr>
          <w:lang w:val="en-GB"/>
        </w:rPr>
        <w:t>, C. R. A</w:t>
      </w:r>
      <w:r w:rsidR="00A250FF" w:rsidRPr="00BD7F4B">
        <w:rPr>
          <w:lang w:val="en-GB"/>
        </w:rPr>
        <w:t>cad. Sci. Paris, série IIa 325,</w:t>
      </w:r>
      <w:r w:rsidRPr="00BD7F4B">
        <w:rPr>
          <w:lang w:val="en-GB"/>
        </w:rPr>
        <w:t xml:space="preserve"> 761–764</w:t>
      </w:r>
      <w:r w:rsidR="00A250FF" w:rsidRPr="00BD7F4B">
        <w:rPr>
          <w:lang w:val="en-GB"/>
        </w:rPr>
        <w:t>, 1997</w:t>
      </w:r>
      <w:r w:rsidRPr="00BD7F4B">
        <w:rPr>
          <w:lang w:val="en-GB"/>
        </w:rPr>
        <w:t>.</w:t>
      </w:r>
    </w:p>
    <w:p w:rsidR="00FC65C5" w:rsidRPr="00BD7F4B" w:rsidRDefault="00FC65C5" w:rsidP="00A250FF">
      <w:pPr>
        <w:autoSpaceDE w:val="0"/>
        <w:autoSpaceDN w:val="0"/>
        <w:adjustRightInd w:val="0"/>
        <w:jc w:val="both"/>
        <w:rPr>
          <w:lang w:val="en-GB"/>
        </w:rPr>
      </w:pPr>
      <w:r w:rsidRPr="00BD7F4B">
        <w:rPr>
          <w:lang w:val="en-US"/>
        </w:rPr>
        <w:t>[14]</w:t>
      </w:r>
      <w:r w:rsidRPr="00BD7F4B">
        <w:rPr>
          <w:lang w:val="en-GB"/>
        </w:rPr>
        <w:t xml:space="preserve"> J. M. Smirnov, S. F. Shinkorenko, in: Pierierabotka Oksilennykh Rud (Processing of</w:t>
      </w:r>
      <w:r w:rsidR="00A250FF" w:rsidRPr="00BD7F4B">
        <w:rPr>
          <w:lang w:val="en-GB"/>
        </w:rPr>
        <w:t xml:space="preserve"> Oxidized Ores), Nauka, </w:t>
      </w:r>
      <w:smartTag w:uri="urn:schemas-microsoft-com:office:smarttags" w:element="City">
        <w:smartTag w:uri="urn:schemas-microsoft-com:office:smarttags" w:element="place">
          <w:r w:rsidR="00A250FF" w:rsidRPr="00BD7F4B">
            <w:rPr>
              <w:lang w:val="en-GB"/>
            </w:rPr>
            <w:t>Moscow</w:t>
          </w:r>
        </w:smartTag>
      </w:smartTag>
      <w:r w:rsidR="00A250FF" w:rsidRPr="00BD7F4B">
        <w:rPr>
          <w:lang w:val="en-GB"/>
        </w:rPr>
        <w:t>, pp</w:t>
      </w:r>
      <w:r w:rsidRPr="00BD7F4B">
        <w:rPr>
          <w:lang w:val="en-GB"/>
        </w:rPr>
        <w:t xml:space="preserve"> 155–161</w:t>
      </w:r>
      <w:r w:rsidR="00A250FF" w:rsidRPr="00BD7F4B">
        <w:rPr>
          <w:lang w:val="en-GB"/>
        </w:rPr>
        <w:t>, 1985</w:t>
      </w:r>
      <w:r w:rsidRPr="00BD7F4B">
        <w:rPr>
          <w:lang w:val="en-GB"/>
        </w:rPr>
        <w:t>.</w:t>
      </w:r>
    </w:p>
    <w:p w:rsidR="00FC65C5" w:rsidRPr="00BD7F4B" w:rsidRDefault="00FC65C5" w:rsidP="00A250FF">
      <w:pPr>
        <w:jc w:val="both"/>
      </w:pPr>
      <w:r w:rsidRPr="00BD7F4B">
        <w:t xml:space="preserve">[15] B. Gaucherand, </w:t>
      </w:r>
      <w:r w:rsidRPr="00BD7F4B">
        <w:rPr>
          <w:i/>
          <w:iCs/>
        </w:rPr>
        <w:t>Considérations générales sur la calcination des phosphates,</w:t>
      </w:r>
      <w:r w:rsidRPr="00BD7F4B">
        <w:t xml:space="preserve"> XII</w:t>
      </w:r>
      <w:r w:rsidRPr="00BD7F4B">
        <w:rPr>
          <w:vertAlign w:val="superscript"/>
        </w:rPr>
        <w:t>th</w:t>
      </w:r>
      <w:r w:rsidRPr="00BD7F4B">
        <w:t xml:space="preserve"> International Miner</w:t>
      </w:r>
      <w:r w:rsidR="00A250FF" w:rsidRPr="00BD7F4B">
        <w:t>ai Dressing Congress, Cagliari,</w:t>
      </w:r>
      <w:r w:rsidRPr="00BD7F4B">
        <w:t xml:space="preserve"> Communication n 23</w:t>
      </w:r>
      <w:r w:rsidR="00A250FF" w:rsidRPr="00BD7F4B">
        <w:t>, 1975</w:t>
      </w:r>
      <w:r w:rsidRPr="00BD7F4B">
        <w:t>.</w:t>
      </w:r>
    </w:p>
    <w:p w:rsidR="00FC65C5" w:rsidRPr="00BD7F4B" w:rsidRDefault="00FC65C5" w:rsidP="00A250FF">
      <w:pPr>
        <w:jc w:val="both"/>
        <w:rPr>
          <w:lang w:val="en-US"/>
        </w:rPr>
      </w:pPr>
      <w:r w:rsidRPr="00BD7F4B">
        <w:rPr>
          <w:lang w:val="en-US"/>
        </w:rPr>
        <w:t xml:space="preserve">[16] J. Ando, S. Motsuno, </w:t>
      </w:r>
      <w:r w:rsidR="00A250FF" w:rsidRPr="00BD7F4B">
        <w:rPr>
          <w:lang w:val="en-US"/>
        </w:rPr>
        <w:t>t</w:t>
      </w:r>
      <w:r w:rsidRPr="00BD7F4B">
        <w:rPr>
          <w:lang w:val="en-US"/>
        </w:rPr>
        <w:t xml:space="preserve">he constitution, reactivity and thermal changes of phosphate ores, But. Chem. Soc. Japan, </w:t>
      </w:r>
      <w:r w:rsidR="00A250FF" w:rsidRPr="00BD7F4B">
        <w:rPr>
          <w:lang w:val="en-US"/>
        </w:rPr>
        <w:t>Vol 39,</w:t>
      </w:r>
      <w:r w:rsidRPr="00BD7F4B">
        <w:rPr>
          <w:lang w:val="en-US"/>
        </w:rPr>
        <w:t xml:space="preserve"> p 1915</w:t>
      </w:r>
      <w:r w:rsidR="00A250FF" w:rsidRPr="00BD7F4B">
        <w:rPr>
          <w:lang w:val="en-US"/>
        </w:rPr>
        <w:t>, 1966</w:t>
      </w:r>
      <w:r w:rsidRPr="00BD7F4B">
        <w:rPr>
          <w:lang w:val="en-US"/>
        </w:rPr>
        <w:t>.</w:t>
      </w:r>
    </w:p>
    <w:p w:rsidR="00FC65C5" w:rsidRPr="00BD7F4B" w:rsidRDefault="00FC65C5" w:rsidP="00A250FF">
      <w:pPr>
        <w:jc w:val="both"/>
      </w:pPr>
      <w:r w:rsidRPr="00BD7F4B">
        <w:t xml:space="preserve">[17] G. H. Mc Clellan, J.R. Lehr, J.P. Srnith et A.W. Frazier, </w:t>
      </w:r>
      <w:r w:rsidRPr="00BD7F4B">
        <w:rPr>
          <w:i/>
          <w:iCs/>
        </w:rPr>
        <w:t>Characterization of apatite in commercial phosphate rocks,</w:t>
      </w:r>
      <w:r w:rsidRPr="00BD7F4B">
        <w:t xml:space="preserve"> Colloque International sur les Phospha</w:t>
      </w:r>
      <w:r w:rsidR="00A250FF" w:rsidRPr="00BD7F4B">
        <w:t xml:space="preserve">tes Minéraux Solides, Toulouse, </w:t>
      </w:r>
      <w:r w:rsidRPr="00BD7F4B">
        <w:t>vol. 2, 29</w:t>
      </w:r>
      <w:r w:rsidR="00A250FF" w:rsidRPr="00BD7F4B">
        <w:t xml:space="preserve"> </w:t>
      </w:r>
      <w:r w:rsidRPr="00BD7F4B">
        <w:t>-</w:t>
      </w:r>
      <w:r w:rsidR="00A250FF" w:rsidRPr="00BD7F4B">
        <w:t xml:space="preserve"> </w:t>
      </w:r>
      <w:r w:rsidRPr="00BD7F4B">
        <w:t>44</w:t>
      </w:r>
      <w:r w:rsidR="00A250FF" w:rsidRPr="00BD7F4B">
        <w:t>, 1967</w:t>
      </w:r>
      <w:r w:rsidRPr="00BD7F4B">
        <w:t>.</w:t>
      </w:r>
    </w:p>
    <w:p w:rsidR="00FC65C5" w:rsidRPr="00BD7F4B" w:rsidRDefault="00FC65C5" w:rsidP="00822E1A">
      <w:pPr>
        <w:jc w:val="both"/>
      </w:pPr>
      <w:r w:rsidRPr="00BD7F4B">
        <w:rPr>
          <w:lang w:val="en-US"/>
        </w:rPr>
        <w:t xml:space="preserve">[18] G. H. Mc Clellan, J. R. Lehr, </w:t>
      </w:r>
      <w:smartTag w:uri="urn:schemas-microsoft-com:office:smarttags" w:element="City">
        <w:smartTag w:uri="urn:schemas-microsoft-com:office:smarttags" w:element="place">
          <w:r w:rsidRPr="00BD7F4B">
            <w:rPr>
              <w:i/>
              <w:iCs/>
              <w:lang w:val="en-US"/>
            </w:rPr>
            <w:t>Crystal</w:t>
          </w:r>
        </w:smartTag>
      </w:smartTag>
      <w:r w:rsidRPr="00BD7F4B">
        <w:rPr>
          <w:i/>
          <w:iCs/>
          <w:lang w:val="en-US"/>
        </w:rPr>
        <w:t xml:space="preserve"> chemical investigation of natural apatites,</w:t>
      </w:r>
      <w:r w:rsidRPr="00BD7F4B">
        <w:rPr>
          <w:lang w:val="en-US"/>
        </w:rPr>
        <w:t xml:space="preserve"> Am. </w:t>
      </w:r>
      <w:r w:rsidRPr="00BD7F4B">
        <w:t xml:space="preserve">MineraI. </w:t>
      </w:r>
      <w:r w:rsidR="00822E1A" w:rsidRPr="00BD7F4B">
        <w:t>Vol 54,</w:t>
      </w:r>
      <w:r w:rsidRPr="00BD7F4B">
        <w:t xml:space="preserve"> 211-222</w:t>
      </w:r>
      <w:r w:rsidR="00822E1A" w:rsidRPr="00BD7F4B">
        <w:t>, 1969</w:t>
      </w:r>
      <w:r w:rsidRPr="00BD7F4B">
        <w:t>.</w:t>
      </w:r>
    </w:p>
    <w:p w:rsidR="00FC65C5" w:rsidRPr="00BD7F4B" w:rsidRDefault="00FC65C5" w:rsidP="002410A5">
      <w:pPr>
        <w:jc w:val="both"/>
      </w:pPr>
      <w:r w:rsidRPr="00BD7F4B">
        <w:t xml:space="preserve">[19] Y. Champetier, P. Blazy et R. Joussemet, </w:t>
      </w:r>
      <w:r w:rsidRPr="00BD7F4B">
        <w:rPr>
          <w:i/>
          <w:iCs/>
        </w:rPr>
        <w:t>Enrichissement des phosphates carbonatés: caractérisation gitologique et pétrographique; comportement au traitement thermique,</w:t>
      </w:r>
      <w:r w:rsidRPr="00BD7F4B">
        <w:t xml:space="preserve"> 2nd International Congress on Phosphoru</w:t>
      </w:r>
      <w:r w:rsidR="002410A5" w:rsidRPr="00BD7F4B">
        <w:t>s Compounds Proceeding, Imphos,</w:t>
      </w:r>
      <w:r w:rsidRPr="00BD7F4B">
        <w:t xml:space="preserve"> 283-312</w:t>
      </w:r>
      <w:r w:rsidR="002410A5" w:rsidRPr="00BD7F4B">
        <w:t>, 1980</w:t>
      </w:r>
      <w:r w:rsidRPr="00BD7F4B">
        <w:t>.</w:t>
      </w:r>
    </w:p>
    <w:p w:rsidR="00FC65C5" w:rsidRPr="00BD7F4B" w:rsidRDefault="00FC65C5" w:rsidP="002410A5">
      <w:pPr>
        <w:jc w:val="both"/>
      </w:pPr>
      <w:r w:rsidRPr="00BD7F4B">
        <w:t xml:space="preserve">[20] P. Blazy, E. A. Jdid, </w:t>
      </w:r>
      <w:r w:rsidRPr="00BD7F4B">
        <w:rPr>
          <w:i/>
          <w:iCs/>
        </w:rPr>
        <w:t>Décarbonisation des phosphates sédimenfaires par calcination dynamique,</w:t>
      </w:r>
      <w:r w:rsidRPr="00BD7F4B">
        <w:t xml:space="preserve"> C. R. Acad. Sci. Paris, </w:t>
      </w:r>
      <w:r w:rsidR="002410A5" w:rsidRPr="00BD7F4B">
        <w:t>321. Série IIa,</w:t>
      </w:r>
      <w:r w:rsidRPr="00BD7F4B">
        <w:t xml:space="preserve"> 287-294</w:t>
      </w:r>
      <w:r w:rsidR="002410A5" w:rsidRPr="00BD7F4B">
        <w:t>, 1995</w:t>
      </w:r>
      <w:r w:rsidRPr="00BD7F4B">
        <w:t>.</w:t>
      </w:r>
    </w:p>
    <w:p w:rsidR="00FC65C5" w:rsidRPr="00BD7F4B" w:rsidRDefault="00FC65C5" w:rsidP="00EC1073">
      <w:pPr>
        <w:jc w:val="both"/>
      </w:pPr>
      <w:r w:rsidRPr="00BD7F4B">
        <w:t xml:space="preserve">[21] A. Brossens, </w:t>
      </w:r>
      <w:r w:rsidRPr="00BD7F4B">
        <w:rPr>
          <w:i/>
          <w:iCs/>
        </w:rPr>
        <w:t>Contribution à l’étude du comportement thermique des minerais de phosphates sédimentaires</w:t>
      </w:r>
      <w:r w:rsidR="00EC1073" w:rsidRPr="00BD7F4B">
        <w:t>, t</w:t>
      </w:r>
      <w:r w:rsidRPr="00BD7F4B">
        <w:t>hèse de l’Université Nancy-I</w:t>
      </w:r>
      <w:r w:rsidR="00EC1073" w:rsidRPr="00BD7F4B">
        <w:t>, 1974</w:t>
      </w:r>
      <w:r w:rsidRPr="00BD7F4B">
        <w:t>.</w:t>
      </w:r>
    </w:p>
    <w:p w:rsidR="00FC65C5" w:rsidRPr="00BD7F4B" w:rsidRDefault="00FC65C5" w:rsidP="00EC1073">
      <w:pPr>
        <w:jc w:val="both"/>
        <w:rPr>
          <w:lang w:val="en-US"/>
        </w:rPr>
      </w:pPr>
      <w:r w:rsidRPr="00BD7F4B">
        <w:t xml:space="preserve">[22] P. Blazy, E.A. Jdid, </w:t>
      </w:r>
      <w:r w:rsidRPr="00BD7F4B">
        <w:rPr>
          <w:i/>
          <w:iCs/>
        </w:rPr>
        <w:t xml:space="preserve">Phénomènes de clinkérisation et de collage lors de la calcination du phosphate à gangue calcaire d’Akashat (Irak). </w:t>
      </w:r>
      <w:r w:rsidRPr="00BD7F4B">
        <w:rPr>
          <w:lang w:val="en-US"/>
        </w:rPr>
        <w:t xml:space="preserve">C. R. Acad. Sci. Paris, </w:t>
      </w:r>
      <w:r w:rsidR="00EC1073" w:rsidRPr="00BD7F4B">
        <w:rPr>
          <w:lang w:val="en-US"/>
        </w:rPr>
        <w:t xml:space="preserve">Vol </w:t>
      </w:r>
      <w:r w:rsidRPr="00BD7F4B">
        <w:rPr>
          <w:lang w:val="en-US"/>
        </w:rPr>
        <w:t>324</w:t>
      </w:r>
      <w:r w:rsidR="00EC1073" w:rsidRPr="00BD7F4B">
        <w:rPr>
          <w:lang w:val="en-US"/>
        </w:rPr>
        <w:t>,</w:t>
      </w:r>
      <w:r w:rsidRPr="00BD7F4B">
        <w:rPr>
          <w:lang w:val="en-US"/>
        </w:rPr>
        <w:t xml:space="preserve"> série IIa, 79-86</w:t>
      </w:r>
      <w:r w:rsidR="00EC1073" w:rsidRPr="00BD7F4B">
        <w:rPr>
          <w:lang w:val="en-US"/>
        </w:rPr>
        <w:t>, 1997</w:t>
      </w:r>
      <w:r w:rsidRPr="00BD7F4B">
        <w:rPr>
          <w:lang w:val="en-US"/>
        </w:rPr>
        <w:t>.</w:t>
      </w:r>
    </w:p>
    <w:p w:rsidR="00FC65C5" w:rsidRPr="00BD7F4B" w:rsidRDefault="00FC65C5" w:rsidP="00EC1073">
      <w:pPr>
        <w:jc w:val="both"/>
        <w:rPr>
          <w:lang w:val="en-US"/>
        </w:rPr>
      </w:pPr>
      <w:r w:rsidRPr="00BD7F4B">
        <w:rPr>
          <w:lang w:val="en-US"/>
        </w:rPr>
        <w:t xml:space="preserve">[23] T.R. Lawail, </w:t>
      </w:r>
      <w:r w:rsidRPr="00BD7F4B">
        <w:rPr>
          <w:i/>
          <w:iCs/>
          <w:lang w:val="en-US"/>
        </w:rPr>
        <w:t>Flash calcining applied to limestone</w:t>
      </w:r>
      <w:r w:rsidRPr="00BD7F4B">
        <w:rPr>
          <w:lang w:val="en-US"/>
        </w:rPr>
        <w:t>, Rock Products,</w:t>
      </w:r>
      <w:r w:rsidR="00EC1073" w:rsidRPr="00BD7F4B">
        <w:rPr>
          <w:lang w:val="en-US"/>
        </w:rPr>
        <w:t xml:space="preserve"> Vol</w:t>
      </w:r>
      <w:r w:rsidRPr="00BD7F4B">
        <w:rPr>
          <w:lang w:val="en-US"/>
        </w:rPr>
        <w:t xml:space="preserve"> </w:t>
      </w:r>
      <w:r w:rsidR="00EC1073" w:rsidRPr="00BD7F4B">
        <w:rPr>
          <w:lang w:val="en-US"/>
        </w:rPr>
        <w:t>8,</w:t>
      </w:r>
      <w:r w:rsidRPr="00BD7F4B">
        <w:rPr>
          <w:lang w:val="en-US"/>
        </w:rPr>
        <w:t xml:space="preserve"> 82</w:t>
      </w:r>
      <w:r w:rsidR="00EC1073" w:rsidRPr="00BD7F4B">
        <w:rPr>
          <w:lang w:val="en-US"/>
        </w:rPr>
        <w:t xml:space="preserve"> </w:t>
      </w:r>
      <w:r w:rsidRPr="00BD7F4B">
        <w:rPr>
          <w:lang w:val="en-US"/>
        </w:rPr>
        <w:t>-</w:t>
      </w:r>
      <w:r w:rsidR="00EC1073" w:rsidRPr="00BD7F4B">
        <w:rPr>
          <w:lang w:val="en-US"/>
        </w:rPr>
        <w:t xml:space="preserve"> </w:t>
      </w:r>
      <w:r w:rsidRPr="00BD7F4B">
        <w:rPr>
          <w:lang w:val="en-US"/>
        </w:rPr>
        <w:t>85</w:t>
      </w:r>
      <w:r w:rsidR="00EC1073" w:rsidRPr="00BD7F4B">
        <w:rPr>
          <w:lang w:val="en-US"/>
        </w:rPr>
        <w:t>, 1978</w:t>
      </w:r>
      <w:r w:rsidRPr="00BD7F4B">
        <w:rPr>
          <w:lang w:val="en-US"/>
        </w:rPr>
        <w:t>.</w:t>
      </w:r>
    </w:p>
    <w:p w:rsidR="00FC65C5" w:rsidRPr="00BD7F4B" w:rsidRDefault="00FC65C5" w:rsidP="00EC1073">
      <w:pPr>
        <w:jc w:val="both"/>
        <w:rPr>
          <w:lang w:val="de-DE"/>
        </w:rPr>
      </w:pPr>
      <w:r w:rsidRPr="00BD7F4B">
        <w:rPr>
          <w:lang w:val="en-US"/>
        </w:rPr>
        <w:t xml:space="preserve">[24] H. Rifzmann, </w:t>
      </w:r>
      <w:r w:rsidRPr="00BD7F4B">
        <w:rPr>
          <w:i/>
          <w:iCs/>
          <w:lang w:val="en-US"/>
        </w:rPr>
        <w:t>Chichibu Cernent Works</w:t>
      </w:r>
      <w:r w:rsidRPr="00BD7F4B">
        <w:rPr>
          <w:lang w:val="en-US"/>
        </w:rPr>
        <w:t xml:space="preserve">. </w:t>
      </w:r>
      <w:r w:rsidRPr="00BD7F4B">
        <w:rPr>
          <w:lang w:val="de-DE"/>
        </w:rPr>
        <w:t xml:space="preserve">Japon, </w:t>
      </w:r>
      <w:r w:rsidR="00EC1073" w:rsidRPr="00BD7F4B">
        <w:rPr>
          <w:lang w:val="de-DE"/>
        </w:rPr>
        <w:t>Cernent Technol.,</w:t>
      </w:r>
      <w:r w:rsidRPr="00BD7F4B">
        <w:rPr>
          <w:lang w:val="de-DE"/>
        </w:rPr>
        <w:t xml:space="preserve"> 211-214</w:t>
      </w:r>
      <w:r w:rsidR="00EC1073" w:rsidRPr="00BD7F4B">
        <w:rPr>
          <w:lang w:val="de-DE"/>
        </w:rPr>
        <w:t>, 1973</w:t>
      </w:r>
      <w:r w:rsidRPr="00BD7F4B">
        <w:rPr>
          <w:lang w:val="de-DE"/>
        </w:rPr>
        <w:t xml:space="preserve">. </w:t>
      </w:r>
    </w:p>
    <w:p w:rsidR="00FC65C5" w:rsidRPr="00BD7F4B" w:rsidRDefault="00FC65C5" w:rsidP="00EC1073">
      <w:pPr>
        <w:jc w:val="both"/>
        <w:rPr>
          <w:lang w:val="de-DE"/>
        </w:rPr>
      </w:pPr>
      <w:r w:rsidRPr="00BD7F4B">
        <w:rPr>
          <w:lang w:val="de-DE"/>
        </w:rPr>
        <w:t xml:space="preserve">[25] H. Rechmeier, </w:t>
      </w:r>
      <w:r w:rsidRPr="00BD7F4B">
        <w:rPr>
          <w:i/>
          <w:iCs/>
          <w:lang w:val="de-DE"/>
        </w:rPr>
        <w:t>Der fûngstufige Wàrrnetauscherofen zum Brennen von Klinder ous Kalkstein und Olschiefer,</w:t>
      </w:r>
      <w:r w:rsidRPr="00BD7F4B">
        <w:rPr>
          <w:lang w:val="de-DE"/>
        </w:rPr>
        <w:t xml:space="preserve"> Zement - Kalk - Gips, </w:t>
      </w:r>
      <w:r w:rsidR="00EC1073" w:rsidRPr="00BD7F4B">
        <w:rPr>
          <w:lang w:val="de-DE"/>
        </w:rPr>
        <w:t>Vol 23,</w:t>
      </w:r>
      <w:r w:rsidRPr="00BD7F4B">
        <w:rPr>
          <w:lang w:val="de-DE"/>
        </w:rPr>
        <w:t xml:space="preserve"> 249-253</w:t>
      </w:r>
      <w:r w:rsidR="00EC1073" w:rsidRPr="00BD7F4B">
        <w:rPr>
          <w:lang w:val="de-DE"/>
        </w:rPr>
        <w:t>, 1970</w:t>
      </w:r>
      <w:r w:rsidRPr="00BD7F4B">
        <w:rPr>
          <w:lang w:val="de-DE"/>
        </w:rPr>
        <w:t xml:space="preserve">. </w:t>
      </w:r>
    </w:p>
    <w:p w:rsidR="00FC65C5" w:rsidRPr="00BD7F4B" w:rsidRDefault="00FC65C5" w:rsidP="00EC1073">
      <w:pPr>
        <w:jc w:val="both"/>
        <w:rPr>
          <w:lang w:val="en-US"/>
        </w:rPr>
      </w:pPr>
      <w:r w:rsidRPr="00BD7F4B">
        <w:rPr>
          <w:lang w:val="de-DE"/>
        </w:rPr>
        <w:t xml:space="preserve">[26] B. Vosteen, </w:t>
      </w:r>
      <w:r w:rsidRPr="00BD7F4B">
        <w:rPr>
          <w:i/>
          <w:iCs/>
          <w:lang w:val="de-DE"/>
        </w:rPr>
        <w:t>Vorwèrmung und Volikommene Kaizirration von Zementrohmehl in einem Schwebegassystem.</w:t>
      </w:r>
      <w:r w:rsidRPr="00BD7F4B">
        <w:rPr>
          <w:lang w:val="de-DE"/>
        </w:rPr>
        <w:t xml:space="preserve"> </w:t>
      </w:r>
      <w:r w:rsidRPr="00BD7F4B">
        <w:rPr>
          <w:lang w:val="en-US"/>
        </w:rPr>
        <w:t xml:space="preserve">Zement-Kalk-Gips, </w:t>
      </w:r>
      <w:r w:rsidR="00EC1073" w:rsidRPr="00BD7F4B">
        <w:rPr>
          <w:lang w:val="en-US"/>
        </w:rPr>
        <w:t>Vol 9,</w:t>
      </w:r>
      <w:r w:rsidRPr="00BD7F4B">
        <w:rPr>
          <w:lang w:val="en-US"/>
        </w:rPr>
        <w:t xml:space="preserve"> 443-450</w:t>
      </w:r>
      <w:r w:rsidR="00EC1073" w:rsidRPr="00BD7F4B">
        <w:rPr>
          <w:lang w:val="en-US"/>
        </w:rPr>
        <w:t>, 1974</w:t>
      </w:r>
      <w:r w:rsidRPr="00BD7F4B">
        <w:rPr>
          <w:lang w:val="en-US"/>
        </w:rPr>
        <w:t>.</w:t>
      </w:r>
    </w:p>
    <w:p w:rsidR="00FC65C5" w:rsidRPr="00BD7F4B" w:rsidRDefault="00FC65C5" w:rsidP="00EC1073">
      <w:pPr>
        <w:widowControl w:val="0"/>
        <w:autoSpaceDE w:val="0"/>
        <w:autoSpaceDN w:val="0"/>
        <w:adjustRightInd w:val="0"/>
        <w:jc w:val="both"/>
        <w:rPr>
          <w:lang w:val="en-GB"/>
        </w:rPr>
      </w:pPr>
      <w:r w:rsidRPr="00BD7F4B">
        <w:rPr>
          <w:lang w:val="en-US"/>
        </w:rPr>
        <w:t xml:space="preserve">[27] G. H. McClellan, S. J. V. Kauwenbergh, </w:t>
      </w:r>
      <w:r w:rsidRPr="00BD7F4B">
        <w:rPr>
          <w:i/>
          <w:iCs/>
          <w:lang w:val="en-US"/>
        </w:rPr>
        <w:t>Mineralogical and chemical variation o</w:t>
      </w:r>
      <w:r w:rsidRPr="00BD7F4B">
        <w:rPr>
          <w:i/>
          <w:iCs/>
          <w:lang w:val="en-GB"/>
        </w:rPr>
        <w:t>f francolites with geological time,</w:t>
      </w:r>
      <w:r w:rsidRPr="00BD7F4B">
        <w:rPr>
          <w:lang w:val="en-GB"/>
        </w:rPr>
        <w:t xml:space="preserve"> J. Geol. Soc., </w:t>
      </w:r>
      <w:r w:rsidR="00EC1073" w:rsidRPr="00BD7F4B">
        <w:rPr>
          <w:lang w:val="en-GB"/>
        </w:rPr>
        <w:t xml:space="preserve"> Vol148,</w:t>
      </w:r>
      <w:r w:rsidRPr="00BD7F4B">
        <w:rPr>
          <w:lang w:val="en-GB"/>
        </w:rPr>
        <w:t xml:space="preserve"> 809</w:t>
      </w:r>
      <w:r w:rsidR="00EC1073" w:rsidRPr="00BD7F4B">
        <w:rPr>
          <w:lang w:val="en-GB"/>
        </w:rPr>
        <w:t xml:space="preserve"> </w:t>
      </w:r>
      <w:r w:rsidRPr="00BD7F4B">
        <w:rPr>
          <w:lang w:val="en-GB"/>
        </w:rPr>
        <w:t>-</w:t>
      </w:r>
      <w:r w:rsidR="00EC1073" w:rsidRPr="00BD7F4B">
        <w:rPr>
          <w:lang w:val="en-GB"/>
        </w:rPr>
        <w:t xml:space="preserve"> </w:t>
      </w:r>
      <w:r w:rsidRPr="00BD7F4B">
        <w:rPr>
          <w:lang w:val="en-GB"/>
        </w:rPr>
        <w:t>812</w:t>
      </w:r>
      <w:r w:rsidR="00EC1073" w:rsidRPr="00BD7F4B">
        <w:rPr>
          <w:lang w:val="en-GB"/>
        </w:rPr>
        <w:t>, 1991</w:t>
      </w:r>
      <w:r w:rsidRPr="00BD7F4B">
        <w:rPr>
          <w:lang w:val="en-GB"/>
        </w:rPr>
        <w:t>.</w:t>
      </w:r>
    </w:p>
    <w:p w:rsidR="00FC65C5" w:rsidRPr="00BD7F4B" w:rsidRDefault="00FC65C5" w:rsidP="00EC1073">
      <w:pPr>
        <w:jc w:val="both"/>
        <w:rPr>
          <w:lang w:val="en-GB"/>
        </w:rPr>
      </w:pPr>
      <w:r w:rsidRPr="00BD7F4B">
        <w:rPr>
          <w:lang w:val="en-US"/>
        </w:rPr>
        <w:t>[28]</w:t>
      </w:r>
      <w:r w:rsidRPr="00BD7F4B">
        <w:rPr>
          <w:lang w:val="en-GB"/>
        </w:rPr>
        <w:t xml:space="preserve"> United Nations Industrial Development Organization (UNIDO) &amp; IFDC. </w:t>
      </w:r>
      <w:r w:rsidRPr="00BD7F4B">
        <w:rPr>
          <w:i/>
          <w:iCs/>
          <w:lang w:val="en-GB"/>
        </w:rPr>
        <w:t xml:space="preserve">Fertilizer manual. </w:t>
      </w:r>
      <w:smartTag w:uri="urn:schemas-microsoft-com:office:smarttags" w:element="City">
        <w:r w:rsidRPr="00BD7F4B">
          <w:rPr>
            <w:lang w:val="en-GB"/>
          </w:rPr>
          <w:t>Dordrecht</w:t>
        </w:r>
      </w:smartTag>
      <w:r w:rsidRPr="00BD7F4B">
        <w:rPr>
          <w:lang w:val="en-GB"/>
        </w:rPr>
        <w:t xml:space="preserve">, the </w:t>
      </w:r>
      <w:smartTag w:uri="urn:schemas-microsoft-com:office:smarttags" w:element="country-region">
        <w:smartTag w:uri="urn:schemas-microsoft-com:office:smarttags" w:element="place">
          <w:r w:rsidRPr="00BD7F4B">
            <w:rPr>
              <w:lang w:val="en-GB"/>
            </w:rPr>
            <w:t>Netherlands</w:t>
          </w:r>
        </w:smartTag>
      </w:smartTag>
      <w:r w:rsidRPr="00BD7F4B">
        <w:rPr>
          <w:lang w:val="en-GB"/>
        </w:rPr>
        <w:t xml:space="preserve">, Kluwer Academic Publishers, </w:t>
      </w:r>
      <w:r w:rsidR="00EC1073" w:rsidRPr="00BD7F4B">
        <w:rPr>
          <w:lang w:val="en-GB"/>
        </w:rPr>
        <w:t>p615, 1998</w:t>
      </w:r>
      <w:r w:rsidRPr="00BD7F4B">
        <w:rPr>
          <w:lang w:val="en-GB"/>
        </w:rPr>
        <w:t>.</w:t>
      </w:r>
    </w:p>
    <w:p w:rsidR="00FC65C5" w:rsidRPr="00BD7F4B" w:rsidRDefault="00FC65C5" w:rsidP="00EC1073">
      <w:pPr>
        <w:tabs>
          <w:tab w:val="left" w:pos="540"/>
        </w:tabs>
        <w:jc w:val="both"/>
        <w:rPr>
          <w:lang w:val="en-GB"/>
        </w:rPr>
      </w:pPr>
      <w:r w:rsidRPr="00BD7F4B">
        <w:rPr>
          <w:lang w:val="en-US"/>
        </w:rPr>
        <w:t>[29]</w:t>
      </w:r>
      <w:r w:rsidRPr="00BD7F4B">
        <w:rPr>
          <w:lang w:val="en-GB"/>
        </w:rPr>
        <w:t xml:space="preserve"> </w:t>
      </w:r>
      <w:r w:rsidRPr="00BD7F4B">
        <w:rPr>
          <w:lang w:val="en-US"/>
        </w:rPr>
        <w:t xml:space="preserve">L. Bilali, M. Kouhila, M. Benchanaa, A. Mokhlisse, A. Belghit, </w:t>
      </w:r>
      <w:r w:rsidRPr="00BD7F4B">
        <w:rPr>
          <w:i/>
          <w:iCs/>
          <w:lang w:val="en-US"/>
        </w:rPr>
        <w:t>Experimental study and modelling of isotherms of sorption of humid natural phosphate</w:t>
      </w:r>
      <w:r w:rsidRPr="00BD7F4B">
        <w:rPr>
          <w:lang w:val="en-US"/>
        </w:rPr>
        <w:t>, E</w:t>
      </w:r>
      <w:r w:rsidR="00EC1073" w:rsidRPr="00BD7F4B">
        <w:rPr>
          <w:lang w:val="en-US"/>
        </w:rPr>
        <w:t xml:space="preserve">nergy Conversion and Management, Vol </w:t>
      </w:r>
      <w:r w:rsidRPr="00BD7F4B">
        <w:rPr>
          <w:lang w:val="en-US"/>
        </w:rPr>
        <w:t>42</w:t>
      </w:r>
      <w:r w:rsidR="00EC1073" w:rsidRPr="00BD7F4B">
        <w:rPr>
          <w:lang w:val="en-US"/>
        </w:rPr>
        <w:t>,</w:t>
      </w:r>
      <w:r w:rsidRPr="00BD7F4B">
        <w:rPr>
          <w:lang w:val="en-US"/>
        </w:rPr>
        <w:t xml:space="preserve"> 467-481</w:t>
      </w:r>
      <w:r w:rsidR="00EC1073" w:rsidRPr="00BD7F4B">
        <w:rPr>
          <w:lang w:val="en-US"/>
        </w:rPr>
        <w:t>, 2001</w:t>
      </w:r>
      <w:r w:rsidRPr="00BD7F4B">
        <w:rPr>
          <w:lang w:val="en-US"/>
        </w:rPr>
        <w:t>.</w:t>
      </w:r>
    </w:p>
    <w:p w:rsidR="00FC65C5" w:rsidRPr="00BD7F4B" w:rsidRDefault="00FC65C5" w:rsidP="009F35C6">
      <w:pPr>
        <w:tabs>
          <w:tab w:val="left" w:pos="540"/>
          <w:tab w:val="left" w:pos="1080"/>
        </w:tabs>
        <w:jc w:val="both"/>
      </w:pPr>
      <w:r w:rsidRPr="00BD7F4B">
        <w:t>[30] K. Mohamed, Z. Mahfoud, H. Moha</w:t>
      </w:r>
      <w:r w:rsidR="009F35C6" w:rsidRPr="00BD7F4B">
        <w:t xml:space="preserve">med, J. Janie et A. Andre, Fuel, Vol </w:t>
      </w:r>
      <w:r w:rsidRPr="00BD7F4B">
        <w:t>76</w:t>
      </w:r>
      <w:r w:rsidR="009F35C6" w:rsidRPr="00BD7F4B">
        <w:t>,</w:t>
      </w:r>
      <w:r w:rsidRPr="00BD7F4B">
        <w:t>14 – 15</w:t>
      </w:r>
      <w:r w:rsidR="009F35C6" w:rsidRPr="00BD7F4B">
        <w:t>, 1997</w:t>
      </w:r>
      <w:r w:rsidRPr="00BD7F4B">
        <w:t>.</w:t>
      </w:r>
    </w:p>
    <w:p w:rsidR="00FC65C5" w:rsidRPr="00BD7F4B" w:rsidRDefault="00FC65C5" w:rsidP="00EC1073">
      <w:pPr>
        <w:jc w:val="both"/>
      </w:pPr>
      <w:r w:rsidRPr="00BD7F4B">
        <w:t xml:space="preserve">[31] AFNOR, </w:t>
      </w:r>
      <w:r w:rsidRPr="00BD7F4B">
        <w:rPr>
          <w:i/>
          <w:iCs/>
        </w:rPr>
        <w:t>Qualité des sols</w:t>
      </w:r>
      <w:r w:rsidRPr="00BD7F4B">
        <w:t>.</w:t>
      </w:r>
      <w:r w:rsidR="00EC1073" w:rsidRPr="00BD7F4B">
        <w:t xml:space="preserve"> Recueil des Normes Française,</w:t>
      </w:r>
      <w:r w:rsidRPr="00BD7F4B">
        <w:t xml:space="preserve"> p. 250</w:t>
      </w:r>
      <w:r w:rsidR="00EC1073" w:rsidRPr="00BD7F4B">
        <w:t>, 1999</w:t>
      </w:r>
      <w:r w:rsidRPr="00BD7F4B">
        <w:t>.</w:t>
      </w:r>
    </w:p>
    <w:p w:rsidR="00FC65C5" w:rsidRPr="00BD7F4B" w:rsidRDefault="00FC65C5" w:rsidP="00EC1073">
      <w:pPr>
        <w:jc w:val="both"/>
        <w:rPr>
          <w:lang w:val="en-GB"/>
        </w:rPr>
      </w:pPr>
      <w:r w:rsidRPr="00BD7F4B">
        <w:rPr>
          <w:lang w:val="en-US"/>
        </w:rPr>
        <w:t xml:space="preserve">[32] S. J. V. Kauwenbergh,. </w:t>
      </w:r>
      <w:r w:rsidRPr="00BD7F4B">
        <w:rPr>
          <w:i/>
          <w:iCs/>
          <w:lang w:val="en-GB"/>
        </w:rPr>
        <w:t>Mineralogy and characterization of phosphate rock,</w:t>
      </w:r>
      <w:r w:rsidRPr="00BD7F4B">
        <w:rPr>
          <w:lang w:val="en-GB"/>
        </w:rPr>
        <w:t xml:space="preserve"> </w:t>
      </w:r>
      <w:r w:rsidRPr="00BD7F4B">
        <w:rPr>
          <w:lang w:val="en-US"/>
        </w:rPr>
        <w:t xml:space="preserve">In K. Dahanayake, S.J. Van Kauwenbergh &amp; D.T. Hellums, eds. </w:t>
      </w:r>
      <w:r w:rsidRPr="00BD7F4B">
        <w:rPr>
          <w:lang w:val="en-GB"/>
        </w:rPr>
        <w:t xml:space="preserve">Direct application of phosphate rock and appropriate technology fertilizers in </w:t>
      </w:r>
      <w:smartTag w:uri="urn:schemas-microsoft-com:office:smarttags" w:element="place">
        <w:r w:rsidRPr="00BD7F4B">
          <w:rPr>
            <w:lang w:val="en-GB"/>
          </w:rPr>
          <w:t>Asia</w:t>
        </w:r>
      </w:smartTag>
      <w:r w:rsidRPr="00BD7F4B">
        <w:rPr>
          <w:lang w:val="en-GB"/>
        </w:rPr>
        <w:t xml:space="preserve"> - what </w:t>
      </w:r>
      <w:r w:rsidR="00EC1073" w:rsidRPr="00BD7F4B">
        <w:rPr>
          <w:lang w:val="en-GB"/>
        </w:rPr>
        <w:t>hinders acceptance and growth,</w:t>
      </w:r>
      <w:r w:rsidRPr="00BD7F4B">
        <w:rPr>
          <w:lang w:val="en-GB"/>
        </w:rPr>
        <w:t xml:space="preserve"> 29-47</w:t>
      </w:r>
      <w:r w:rsidR="00EC1073" w:rsidRPr="00BD7F4B">
        <w:rPr>
          <w:lang w:val="en-GB"/>
        </w:rPr>
        <w:t>, 1995</w:t>
      </w:r>
      <w:r w:rsidRPr="00BD7F4B">
        <w:rPr>
          <w:lang w:val="en-GB"/>
        </w:rPr>
        <w:t>.</w:t>
      </w:r>
    </w:p>
    <w:p w:rsidR="00FC65C5" w:rsidRPr="00BD7F4B" w:rsidRDefault="00FC65C5" w:rsidP="00EC1073">
      <w:pPr>
        <w:autoSpaceDE w:val="0"/>
        <w:autoSpaceDN w:val="0"/>
        <w:adjustRightInd w:val="0"/>
        <w:jc w:val="both"/>
      </w:pPr>
      <w:r w:rsidRPr="00BD7F4B">
        <w:t xml:space="preserve">[33] L. Sandrine, </w:t>
      </w:r>
      <w:r w:rsidRPr="00BD7F4B">
        <w:rPr>
          <w:i/>
          <w:iCs/>
        </w:rPr>
        <w:t xml:space="preserve">Synthèse et comportement thermique (stabilité et frittage) de phosphates de terres rares cériques ou yttriques, </w:t>
      </w:r>
      <w:r w:rsidRPr="00BD7F4B">
        <w:t>t</w:t>
      </w:r>
      <w:r w:rsidR="00EC1073" w:rsidRPr="00BD7F4B">
        <w:t>hèse de l’université de limoges, 2</w:t>
      </w:r>
      <w:r w:rsidRPr="00BD7F4B">
        <w:t>003.</w:t>
      </w:r>
    </w:p>
    <w:p w:rsidR="00FC65C5" w:rsidRPr="00BD7F4B" w:rsidRDefault="00FC65C5" w:rsidP="00EC1073">
      <w:pPr>
        <w:jc w:val="both"/>
        <w:rPr>
          <w:i/>
          <w:iCs/>
        </w:rPr>
      </w:pPr>
      <w:r w:rsidRPr="00BD7F4B">
        <w:t>[34]</w:t>
      </w:r>
      <w:r w:rsidRPr="00BD7F4B">
        <w:rPr>
          <w:i/>
          <w:iCs/>
        </w:rPr>
        <w:t xml:space="preserve"> B. Royer, Etude de l’influence de la composition de hydroxyapatite frittée sur ses propriétés mécaniques, Thèse de l‘INP de Grenoble</w:t>
      </w:r>
      <w:r w:rsidR="00EC1073" w:rsidRPr="00BD7F4B">
        <w:rPr>
          <w:i/>
          <w:iCs/>
        </w:rPr>
        <w:t xml:space="preserve">, </w:t>
      </w:r>
      <w:r w:rsidRPr="00BD7F4B">
        <w:rPr>
          <w:i/>
          <w:iCs/>
        </w:rPr>
        <w:t>1990.</w:t>
      </w:r>
    </w:p>
    <w:p w:rsidR="00FC65C5" w:rsidRPr="00BD7F4B" w:rsidRDefault="00FC65C5" w:rsidP="00EC1073">
      <w:pPr>
        <w:widowControl w:val="0"/>
        <w:autoSpaceDE w:val="0"/>
        <w:autoSpaceDN w:val="0"/>
        <w:adjustRightInd w:val="0"/>
        <w:jc w:val="both"/>
        <w:rPr>
          <w:lang w:val="en-US" w:bidi="ar-MA"/>
        </w:rPr>
      </w:pPr>
      <w:r w:rsidRPr="00BD7F4B">
        <w:rPr>
          <w:lang w:val="en-US"/>
        </w:rPr>
        <w:t>[35]</w:t>
      </w:r>
      <w:r w:rsidRPr="00BD7F4B">
        <w:rPr>
          <w:spacing w:val="1"/>
          <w:lang w:val="en-US"/>
        </w:rPr>
        <w:t xml:space="preserve"> </w:t>
      </w:r>
      <w:r w:rsidRPr="00BD7F4B">
        <w:rPr>
          <w:lang w:val="en-US" w:bidi="ar-MA"/>
        </w:rPr>
        <w:t xml:space="preserve">I. Bisutti, I. Hilke, J. Schumacher, M. Raessler, </w:t>
      </w:r>
      <w:r w:rsidRPr="00BD7F4B">
        <w:rPr>
          <w:i/>
          <w:iCs/>
          <w:lang w:val="en-US" w:bidi="ar-MA"/>
        </w:rPr>
        <w:t>Anovel singleirun dual temperature combustion method for the determination of organic, in-organic and total carbon in soil samples,</w:t>
      </w:r>
      <w:r w:rsidRPr="00BD7F4B">
        <w:rPr>
          <w:lang w:val="en-US" w:bidi="ar-MA"/>
        </w:rPr>
        <w:t xml:space="preserve"> Talanta,</w:t>
      </w:r>
      <w:r w:rsidR="00EC1073" w:rsidRPr="00BD7F4B">
        <w:rPr>
          <w:lang w:val="en-US" w:bidi="ar-MA"/>
        </w:rPr>
        <w:t xml:space="preserve"> Vol</w:t>
      </w:r>
      <w:r w:rsidRPr="00BD7F4B">
        <w:rPr>
          <w:lang w:val="en-US" w:bidi="ar-MA"/>
        </w:rPr>
        <w:t xml:space="preserve"> 71</w:t>
      </w:r>
      <w:r w:rsidR="00EC1073" w:rsidRPr="00BD7F4B">
        <w:rPr>
          <w:lang w:val="en-US" w:bidi="ar-MA"/>
        </w:rPr>
        <w:t>,</w:t>
      </w:r>
      <w:r w:rsidRPr="00BD7F4B">
        <w:rPr>
          <w:lang w:val="en-US" w:bidi="ar-MA"/>
        </w:rPr>
        <w:t xml:space="preserve"> 521-528</w:t>
      </w:r>
      <w:r w:rsidR="00EC1073" w:rsidRPr="00BD7F4B">
        <w:rPr>
          <w:lang w:val="en-US" w:bidi="ar-MA"/>
        </w:rPr>
        <w:t>2007</w:t>
      </w:r>
      <w:r w:rsidRPr="00BD7F4B">
        <w:rPr>
          <w:lang w:val="en-US" w:bidi="ar-MA"/>
        </w:rPr>
        <w:t>.</w:t>
      </w:r>
    </w:p>
    <w:p w:rsidR="00FC65C5" w:rsidRPr="00BD7F4B" w:rsidRDefault="00FC65C5" w:rsidP="00EC1073">
      <w:pPr>
        <w:autoSpaceDE w:val="0"/>
        <w:autoSpaceDN w:val="0"/>
        <w:adjustRightInd w:val="0"/>
        <w:jc w:val="both"/>
        <w:rPr>
          <w:lang w:val="en-US"/>
        </w:rPr>
      </w:pPr>
      <w:r w:rsidRPr="00BD7F4B">
        <w:rPr>
          <w:lang w:val="en-US"/>
        </w:rPr>
        <w:t xml:space="preserve">[36] J. Szekely, J.W. Evans, H.Y. Sohn, </w:t>
      </w:r>
      <w:r w:rsidRPr="00BD7F4B">
        <w:rPr>
          <w:i/>
          <w:iCs/>
          <w:lang w:val="en-US"/>
        </w:rPr>
        <w:t>Gas–Solid Reactions</w:t>
      </w:r>
      <w:r w:rsidRPr="00BD7F4B">
        <w:rPr>
          <w:lang w:val="en-US"/>
        </w:rPr>
        <w:t>, Academic Press</w:t>
      </w:r>
      <w:r w:rsidR="00EC1073" w:rsidRPr="00BD7F4B">
        <w:rPr>
          <w:lang w:val="en-US"/>
        </w:rPr>
        <w:t>, New York/San Fransisco,</w:t>
      </w:r>
      <w:r w:rsidRPr="00BD7F4B">
        <w:rPr>
          <w:lang w:val="en-US"/>
        </w:rPr>
        <w:t xml:space="preserve"> pp. 52–58</w:t>
      </w:r>
      <w:r w:rsidR="00EC1073" w:rsidRPr="00BD7F4B">
        <w:rPr>
          <w:lang w:val="en-US"/>
        </w:rPr>
        <w:t>, 1976</w:t>
      </w:r>
      <w:r w:rsidRPr="00BD7F4B">
        <w:rPr>
          <w:lang w:val="en-US"/>
        </w:rPr>
        <w:t>.</w:t>
      </w:r>
    </w:p>
    <w:p w:rsidR="00FC65C5" w:rsidRPr="00BD7F4B" w:rsidRDefault="00FC65C5" w:rsidP="006D0D35">
      <w:pPr>
        <w:jc w:val="both"/>
        <w:rPr>
          <w:lang w:val="en-US"/>
        </w:rPr>
      </w:pPr>
      <w:r w:rsidRPr="00BD7F4B">
        <w:rPr>
          <w:lang w:val="en-US"/>
        </w:rPr>
        <w:t>[37]</w:t>
      </w:r>
      <w:r w:rsidRPr="00BD7F4B">
        <w:rPr>
          <w:lang w:val="en-GB"/>
        </w:rPr>
        <w:t xml:space="preserve"> </w:t>
      </w:r>
      <w:r w:rsidRPr="00BD7F4B">
        <w:rPr>
          <w:lang w:val="en-US"/>
        </w:rPr>
        <w:t xml:space="preserve">S. Karaca, A. Gurses, M. Ejder, M. Açikylidiz, </w:t>
      </w:r>
      <w:r w:rsidRPr="00BD7F4B">
        <w:rPr>
          <w:i/>
          <w:iCs/>
          <w:lang w:val="en-US"/>
        </w:rPr>
        <w:t>Adsorptive removal of phosphate from aqueous solutions using raw and calcinated dolomite,</w:t>
      </w:r>
      <w:r w:rsidRPr="00BD7F4B">
        <w:rPr>
          <w:lang w:val="en-US"/>
        </w:rPr>
        <w:t xml:space="preserve"> Journ</w:t>
      </w:r>
      <w:r w:rsidR="006D0D35" w:rsidRPr="00BD7F4B">
        <w:rPr>
          <w:lang w:val="en-US"/>
        </w:rPr>
        <w:t xml:space="preserve">al of Hazardous Materials B128, </w:t>
      </w:r>
      <w:r w:rsidRPr="00BD7F4B">
        <w:rPr>
          <w:lang w:val="en-US"/>
        </w:rPr>
        <w:t xml:space="preserve">273 </w:t>
      </w:r>
      <w:r w:rsidR="006D0D35" w:rsidRPr="00BD7F4B">
        <w:rPr>
          <w:lang w:val="en-US"/>
        </w:rPr>
        <w:t>–</w:t>
      </w:r>
      <w:r w:rsidRPr="00BD7F4B">
        <w:rPr>
          <w:lang w:val="en-US"/>
        </w:rPr>
        <w:t xml:space="preserve"> 279</w:t>
      </w:r>
      <w:r w:rsidR="006D0D35" w:rsidRPr="00BD7F4B">
        <w:rPr>
          <w:lang w:val="en-US"/>
        </w:rPr>
        <w:t>, 2006</w:t>
      </w:r>
      <w:r w:rsidRPr="00BD7F4B">
        <w:rPr>
          <w:lang w:val="en-US"/>
        </w:rPr>
        <w:t>.</w:t>
      </w:r>
    </w:p>
    <w:p w:rsidR="00FC65C5" w:rsidRPr="00BD7F4B" w:rsidRDefault="00FC65C5" w:rsidP="00216D9F">
      <w:pPr>
        <w:autoSpaceDE w:val="0"/>
        <w:autoSpaceDN w:val="0"/>
        <w:adjustRightInd w:val="0"/>
        <w:jc w:val="both"/>
      </w:pPr>
      <w:r w:rsidRPr="00BD7F4B">
        <w:t xml:space="preserve">[38] C. A. Jouenne; </w:t>
      </w:r>
      <w:r w:rsidRPr="00BD7F4B">
        <w:rPr>
          <w:i/>
          <w:iCs/>
        </w:rPr>
        <w:t>Traité de céramiques et matériaux minéraux,</w:t>
      </w:r>
      <w:r w:rsidRPr="00BD7F4B">
        <w:t xml:space="preserve"> Ed. Septima, 1990.</w:t>
      </w:r>
    </w:p>
    <w:p w:rsidR="00FC65C5" w:rsidRPr="00BD7F4B" w:rsidRDefault="00FC65C5" w:rsidP="006D0D35">
      <w:pPr>
        <w:autoSpaceDE w:val="0"/>
        <w:autoSpaceDN w:val="0"/>
        <w:adjustRightInd w:val="0"/>
        <w:jc w:val="both"/>
      </w:pPr>
      <w:r w:rsidRPr="00BD7F4B">
        <w:t xml:space="preserve">[39] B. Gaucherand, La magnésie dans la valorisation des phosphates, SIM, Section Minéralurgie, </w:t>
      </w:r>
      <w:r w:rsidR="006D0D35" w:rsidRPr="00BD7F4B">
        <w:t xml:space="preserve">Vol </w:t>
      </w:r>
      <w:r w:rsidRPr="00BD7F4B">
        <w:t>26</w:t>
      </w:r>
      <w:r w:rsidR="006D0D35" w:rsidRPr="00BD7F4B">
        <w:t>,</w:t>
      </w:r>
      <w:r w:rsidRPr="00BD7F4B">
        <w:t xml:space="preserve"> p. 427</w:t>
      </w:r>
      <w:r w:rsidR="006D0D35" w:rsidRPr="00BD7F4B">
        <w:t>, 1983</w:t>
      </w:r>
      <w:r w:rsidRPr="00BD7F4B">
        <w:t>.</w:t>
      </w:r>
    </w:p>
    <w:p w:rsidR="00FC65C5" w:rsidRPr="00BD7F4B" w:rsidRDefault="00FC65C5" w:rsidP="009F35C6">
      <w:pPr>
        <w:jc w:val="both"/>
      </w:pPr>
      <w:r w:rsidRPr="00BD7F4B">
        <w:rPr>
          <w:lang w:val="de-DE"/>
        </w:rPr>
        <w:t xml:space="preserve">[40] N. Bezzi, D. Merabet, N. Benabdeslem, H. Arkoub, Ann. </w:t>
      </w:r>
      <w:r w:rsidRPr="00BD7F4B">
        <w:t xml:space="preserve">Chim. Sci Mat., </w:t>
      </w:r>
      <w:r w:rsidR="009F35C6" w:rsidRPr="00BD7F4B">
        <w:t xml:space="preserve">Vol </w:t>
      </w:r>
      <w:r w:rsidRPr="00BD7F4B">
        <w:t>26 (6)</w:t>
      </w:r>
      <w:r w:rsidR="009F35C6" w:rsidRPr="00BD7F4B">
        <w:t>, 5-23, 2001.</w:t>
      </w:r>
    </w:p>
    <w:p w:rsidR="00FC65C5" w:rsidRPr="00BD7F4B" w:rsidRDefault="00FC65C5" w:rsidP="00216D9F">
      <w:pPr>
        <w:jc w:val="both"/>
      </w:pPr>
      <w:r w:rsidRPr="00BD7F4B">
        <w:t xml:space="preserve">[41] L. Bilali, M. Benchanaa et A. Mokhlisse, </w:t>
      </w:r>
      <w:r w:rsidRPr="00BD7F4B">
        <w:rPr>
          <w:i/>
          <w:iCs/>
        </w:rPr>
        <w:t>Pyrolyse du phosphate noir de Youssoufia par chauffage conventionnel</w:t>
      </w:r>
      <w:r w:rsidRPr="00BD7F4B">
        <w:t xml:space="preserve">, </w:t>
      </w:r>
      <w:r w:rsidR="00216D9F" w:rsidRPr="00BD7F4B">
        <w:t>COVAPHOS I, Marrakech, pp</w:t>
      </w:r>
      <w:r w:rsidRPr="00BD7F4B">
        <w:t xml:space="preserve"> 34-37</w:t>
      </w:r>
      <w:r w:rsidR="00216D9F" w:rsidRPr="00BD7F4B">
        <w:t>, 2004</w:t>
      </w:r>
      <w:r w:rsidRPr="00BD7F4B">
        <w:t>.</w:t>
      </w:r>
    </w:p>
    <w:sectPr w:rsidR="00FC65C5" w:rsidRPr="00BD7F4B" w:rsidSect="00834216">
      <w:headerReference w:type="default" r:id="rId28"/>
      <w:footerReference w:type="even" r:id="rId29"/>
      <w:footerReference w:type="default" r:id="rId30"/>
      <w:type w:val="continuous"/>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2E" w:rsidRDefault="006A332E">
      <w:r>
        <w:separator/>
      </w:r>
    </w:p>
  </w:endnote>
  <w:endnote w:type="continuationSeparator" w:id="0">
    <w:p w:rsidR="006A332E" w:rsidRDefault="006A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MBX1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Px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3A" w:rsidRDefault="002A033A" w:rsidP="00E11E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A033A" w:rsidRDefault="002A033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3A" w:rsidRDefault="002A033A" w:rsidP="00CC1502">
    <w:pPr>
      <w:pStyle w:val="Pieddepage"/>
      <w:framePr w:wrap="around" w:vAnchor="text" w:hAnchor="page" w:x="5901" w:yAlign="top"/>
      <w:rPr>
        <w:rStyle w:val="Numrodepage"/>
      </w:rPr>
    </w:pPr>
    <w:r>
      <w:rPr>
        <w:rStyle w:val="Numrodepage"/>
      </w:rPr>
      <w:fldChar w:fldCharType="begin"/>
    </w:r>
    <w:r>
      <w:rPr>
        <w:rStyle w:val="Numrodepage"/>
      </w:rPr>
      <w:instrText xml:space="preserve">PAGE  </w:instrText>
    </w:r>
    <w:r>
      <w:rPr>
        <w:rStyle w:val="Numrodepage"/>
      </w:rPr>
      <w:fldChar w:fldCharType="separate"/>
    </w:r>
    <w:r w:rsidR="006A332E">
      <w:rPr>
        <w:rStyle w:val="Numrodepage"/>
        <w:noProof/>
      </w:rPr>
      <w:t>1</w:t>
    </w:r>
    <w:r>
      <w:rPr>
        <w:rStyle w:val="Numrodepage"/>
      </w:rPr>
      <w:fldChar w:fldCharType="end"/>
    </w:r>
  </w:p>
  <w:p w:rsidR="002A033A" w:rsidRDefault="00CC1502" w:rsidP="00181521">
    <w:pPr>
      <w:pStyle w:val="Pieddepage"/>
      <w:ind w:right="360"/>
      <w:jc w:val="center"/>
    </w:pPr>
    <w:r>
      <w:t>dataelouardi.com</w:t>
    </w:r>
    <w:r>
      <w:tab/>
    </w:r>
    <w:r>
      <w:tab/>
      <w:t>Pr. ELOUARDI ELMOKHTAR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2E" w:rsidRDefault="006A332E">
      <w:r>
        <w:separator/>
      </w:r>
    </w:p>
  </w:footnote>
  <w:footnote w:type="continuationSeparator" w:id="0">
    <w:p w:rsidR="006A332E" w:rsidRDefault="006A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02" w:rsidRPr="00CC1502" w:rsidRDefault="00CC1502">
    <w:pPr>
      <w:pStyle w:val="En-tte"/>
      <w:rPr>
        <w:i/>
        <w:iCs/>
        <w:sz w:val="28"/>
        <w:szCs w:val="28"/>
      </w:rPr>
    </w:pPr>
    <w:r w:rsidRPr="00CC1502">
      <w:rPr>
        <w:i/>
        <w:iCs/>
        <w:sz w:val="28"/>
        <w:szCs w:val="28"/>
      </w:rPr>
      <w:t>Brou</w:t>
    </w:r>
    <w:r>
      <w:rPr>
        <w:i/>
        <w:iCs/>
        <w:sz w:val="28"/>
        <w:szCs w:val="28"/>
      </w:rPr>
      <w:t>illon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A7"/>
      </v:shape>
    </w:pict>
  </w:numPicBullet>
  <w:abstractNum w:abstractNumId="0">
    <w:nsid w:val="AEB3A406"/>
    <w:multiLevelType w:val="hybridMultilevel"/>
    <w:tmpl w:val="040917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89A95E"/>
    <w:multiLevelType w:val="hybridMultilevel"/>
    <w:tmpl w:val="257E74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B0F87E"/>
    <w:multiLevelType w:val="hybridMultilevel"/>
    <w:tmpl w:val="653EAB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DEB7746"/>
    <w:multiLevelType w:val="hybridMultilevel"/>
    <w:tmpl w:val="7A520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E6F38"/>
    <w:multiLevelType w:val="hybridMultilevel"/>
    <w:tmpl w:val="05E88E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C25CCC"/>
    <w:multiLevelType w:val="hybridMultilevel"/>
    <w:tmpl w:val="3DD0ACC2"/>
    <w:lvl w:ilvl="0" w:tplc="83967B5E">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50A73AE"/>
    <w:multiLevelType w:val="hybridMultilevel"/>
    <w:tmpl w:val="4194340A"/>
    <w:lvl w:ilvl="0" w:tplc="E250BD3A">
      <w:start w:val="1"/>
      <w:numFmt w:val="bullet"/>
      <w:lvlText w:val=""/>
      <w:lvlJc w:val="left"/>
      <w:pPr>
        <w:tabs>
          <w:tab w:val="num" w:pos="720"/>
        </w:tabs>
        <w:ind w:left="720" w:hanging="360"/>
      </w:pPr>
      <w:rPr>
        <w:rFonts w:ascii="Symbol" w:hAnsi="Symbol" w:hint="default"/>
        <w:sz w:val="20"/>
      </w:rPr>
    </w:lvl>
    <w:lvl w:ilvl="1" w:tplc="DA9C4FEC" w:tentative="1">
      <w:start w:val="1"/>
      <w:numFmt w:val="bullet"/>
      <w:lvlText w:val="o"/>
      <w:lvlJc w:val="left"/>
      <w:pPr>
        <w:tabs>
          <w:tab w:val="num" w:pos="1440"/>
        </w:tabs>
        <w:ind w:left="1440" w:hanging="360"/>
      </w:pPr>
      <w:rPr>
        <w:rFonts w:ascii="Courier New" w:hAnsi="Courier New" w:hint="default"/>
        <w:sz w:val="20"/>
      </w:rPr>
    </w:lvl>
    <w:lvl w:ilvl="2" w:tplc="A9BC15B2" w:tentative="1">
      <w:start w:val="1"/>
      <w:numFmt w:val="bullet"/>
      <w:lvlText w:val=""/>
      <w:lvlJc w:val="left"/>
      <w:pPr>
        <w:tabs>
          <w:tab w:val="num" w:pos="2160"/>
        </w:tabs>
        <w:ind w:left="2160" w:hanging="360"/>
      </w:pPr>
      <w:rPr>
        <w:rFonts w:ascii="Wingdings" w:hAnsi="Wingdings" w:hint="default"/>
        <w:sz w:val="20"/>
      </w:rPr>
    </w:lvl>
    <w:lvl w:ilvl="3" w:tplc="CEB20F3C" w:tentative="1">
      <w:start w:val="1"/>
      <w:numFmt w:val="bullet"/>
      <w:lvlText w:val=""/>
      <w:lvlJc w:val="left"/>
      <w:pPr>
        <w:tabs>
          <w:tab w:val="num" w:pos="2880"/>
        </w:tabs>
        <w:ind w:left="2880" w:hanging="360"/>
      </w:pPr>
      <w:rPr>
        <w:rFonts w:ascii="Wingdings" w:hAnsi="Wingdings" w:hint="default"/>
        <w:sz w:val="20"/>
      </w:rPr>
    </w:lvl>
    <w:lvl w:ilvl="4" w:tplc="EBACD836" w:tentative="1">
      <w:start w:val="1"/>
      <w:numFmt w:val="bullet"/>
      <w:lvlText w:val=""/>
      <w:lvlJc w:val="left"/>
      <w:pPr>
        <w:tabs>
          <w:tab w:val="num" w:pos="3600"/>
        </w:tabs>
        <w:ind w:left="3600" w:hanging="360"/>
      </w:pPr>
      <w:rPr>
        <w:rFonts w:ascii="Wingdings" w:hAnsi="Wingdings" w:hint="default"/>
        <w:sz w:val="20"/>
      </w:rPr>
    </w:lvl>
    <w:lvl w:ilvl="5" w:tplc="08A87D68" w:tentative="1">
      <w:start w:val="1"/>
      <w:numFmt w:val="bullet"/>
      <w:lvlText w:val=""/>
      <w:lvlJc w:val="left"/>
      <w:pPr>
        <w:tabs>
          <w:tab w:val="num" w:pos="4320"/>
        </w:tabs>
        <w:ind w:left="4320" w:hanging="360"/>
      </w:pPr>
      <w:rPr>
        <w:rFonts w:ascii="Wingdings" w:hAnsi="Wingdings" w:hint="default"/>
        <w:sz w:val="20"/>
      </w:rPr>
    </w:lvl>
    <w:lvl w:ilvl="6" w:tplc="6714D65A" w:tentative="1">
      <w:start w:val="1"/>
      <w:numFmt w:val="bullet"/>
      <w:lvlText w:val=""/>
      <w:lvlJc w:val="left"/>
      <w:pPr>
        <w:tabs>
          <w:tab w:val="num" w:pos="5040"/>
        </w:tabs>
        <w:ind w:left="5040" w:hanging="360"/>
      </w:pPr>
      <w:rPr>
        <w:rFonts w:ascii="Wingdings" w:hAnsi="Wingdings" w:hint="default"/>
        <w:sz w:val="20"/>
      </w:rPr>
    </w:lvl>
    <w:lvl w:ilvl="7" w:tplc="E42279F4" w:tentative="1">
      <w:start w:val="1"/>
      <w:numFmt w:val="bullet"/>
      <w:lvlText w:val=""/>
      <w:lvlJc w:val="left"/>
      <w:pPr>
        <w:tabs>
          <w:tab w:val="num" w:pos="5760"/>
        </w:tabs>
        <w:ind w:left="5760" w:hanging="360"/>
      </w:pPr>
      <w:rPr>
        <w:rFonts w:ascii="Wingdings" w:hAnsi="Wingdings" w:hint="default"/>
        <w:sz w:val="20"/>
      </w:rPr>
    </w:lvl>
    <w:lvl w:ilvl="8" w:tplc="14021202" w:tentative="1">
      <w:start w:val="1"/>
      <w:numFmt w:val="bullet"/>
      <w:lvlText w:val=""/>
      <w:lvlJc w:val="left"/>
      <w:pPr>
        <w:tabs>
          <w:tab w:val="num" w:pos="6480"/>
        </w:tabs>
        <w:ind w:left="6480" w:hanging="360"/>
      </w:pPr>
      <w:rPr>
        <w:rFonts w:ascii="Wingdings" w:hAnsi="Wingdings" w:hint="default"/>
        <w:sz w:val="20"/>
      </w:rPr>
    </w:lvl>
  </w:abstractNum>
  <w:abstractNum w:abstractNumId="7">
    <w:nsid w:val="0B284242"/>
    <w:multiLevelType w:val="hybridMultilevel"/>
    <w:tmpl w:val="DF520102"/>
    <w:lvl w:ilvl="0" w:tplc="1854CF5E">
      <w:start w:val="1"/>
      <w:numFmt w:val="decimal"/>
      <w:lvlText w:val="%1."/>
      <w:lvlJc w:val="left"/>
      <w:pPr>
        <w:tabs>
          <w:tab w:val="num" w:pos="720"/>
        </w:tabs>
        <w:ind w:left="720" w:hanging="360"/>
      </w:pPr>
      <w:rPr>
        <w:rFonts w:ascii="Times New Roman" w:eastAsia="SimSu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B0E1496"/>
    <w:multiLevelType w:val="singleLevel"/>
    <w:tmpl w:val="71124AC0"/>
    <w:lvl w:ilvl="0">
      <w:start w:val="1"/>
      <w:numFmt w:val="bullet"/>
      <w:lvlText w:val="-"/>
      <w:lvlJc w:val="left"/>
      <w:pPr>
        <w:tabs>
          <w:tab w:val="num" w:pos="360"/>
        </w:tabs>
        <w:ind w:left="360" w:hanging="360"/>
      </w:pPr>
      <w:rPr>
        <w:rFonts w:hint="default"/>
      </w:rPr>
    </w:lvl>
  </w:abstractNum>
  <w:abstractNum w:abstractNumId="9">
    <w:nsid w:val="274C3B37"/>
    <w:multiLevelType w:val="hybridMultilevel"/>
    <w:tmpl w:val="7AB019C8"/>
    <w:lvl w:ilvl="0" w:tplc="E026AA24">
      <w:start w:val="1"/>
      <w:numFmt w:val="lowerLetter"/>
      <w:lvlText w:val="%1-"/>
      <w:lvlJc w:val="left"/>
      <w:pPr>
        <w:tabs>
          <w:tab w:val="num" w:pos="720"/>
        </w:tabs>
        <w:ind w:left="720" w:hanging="360"/>
      </w:pPr>
      <w:rPr>
        <w:rFonts w:hint="default"/>
      </w:rPr>
    </w:lvl>
    <w:lvl w:ilvl="1" w:tplc="905C7DBC">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A374050"/>
    <w:multiLevelType w:val="hybridMultilevel"/>
    <w:tmpl w:val="CAF82FA2"/>
    <w:lvl w:ilvl="0" w:tplc="8A6E3AF2">
      <w:start w:val="1"/>
      <w:numFmt w:val="upperRoman"/>
      <w:lvlText w:val="%1."/>
      <w:lvlJc w:val="left"/>
      <w:pPr>
        <w:tabs>
          <w:tab w:val="num" w:pos="1260"/>
        </w:tabs>
        <w:ind w:left="1260" w:hanging="720"/>
      </w:pPr>
      <w:rPr>
        <w:rFonts w:hint="default"/>
      </w:rPr>
    </w:lvl>
    <w:lvl w:ilvl="1" w:tplc="E974C21C">
      <w:start w:val="1"/>
      <w:numFmt w:val="decimal"/>
      <w:lvlText w:val="%2."/>
      <w:lvlJc w:val="left"/>
      <w:pPr>
        <w:tabs>
          <w:tab w:val="num" w:pos="1620"/>
        </w:tabs>
        <w:ind w:left="1620" w:hanging="360"/>
      </w:pPr>
      <w:rPr>
        <w:rFonts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1">
    <w:nsid w:val="30112B74"/>
    <w:multiLevelType w:val="hybridMultilevel"/>
    <w:tmpl w:val="640EF3DC"/>
    <w:lvl w:ilvl="0" w:tplc="040C0005">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313A4119"/>
    <w:multiLevelType w:val="hybridMultilevel"/>
    <w:tmpl w:val="2288439A"/>
    <w:lvl w:ilvl="0" w:tplc="040C0007">
      <w:start w:val="1"/>
      <w:numFmt w:val="bullet"/>
      <w:lvlText w:val=""/>
      <w:lvlPicBulletId w:val="0"/>
      <w:lvlJc w:val="left"/>
      <w:pPr>
        <w:tabs>
          <w:tab w:val="num" w:pos="1320"/>
        </w:tabs>
        <w:ind w:left="132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3">
    <w:nsid w:val="358E431D"/>
    <w:multiLevelType w:val="hybridMultilevel"/>
    <w:tmpl w:val="CBB8082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82B0806"/>
    <w:multiLevelType w:val="hybridMultilevel"/>
    <w:tmpl w:val="C0E6A934"/>
    <w:lvl w:ilvl="0" w:tplc="F864A22A">
      <w:numFmt w:val="bullet"/>
      <w:lvlText w:val="-"/>
      <w:lvlJc w:val="left"/>
      <w:pPr>
        <w:tabs>
          <w:tab w:val="num" w:pos="1260"/>
        </w:tabs>
        <w:ind w:left="1260" w:hanging="720"/>
      </w:pPr>
      <w:rPr>
        <w:rFonts w:ascii="Times New Roman" w:eastAsia="SimSu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5">
    <w:nsid w:val="3E423FE7"/>
    <w:multiLevelType w:val="hybridMultilevel"/>
    <w:tmpl w:val="7197DD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E27A864"/>
    <w:multiLevelType w:val="hybridMultilevel"/>
    <w:tmpl w:val="25EDC5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3032763"/>
    <w:multiLevelType w:val="hybridMultilevel"/>
    <w:tmpl w:val="373DD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5265582"/>
    <w:multiLevelType w:val="hybridMultilevel"/>
    <w:tmpl w:val="72B4EC8A"/>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9">
    <w:nsid w:val="5A397302"/>
    <w:multiLevelType w:val="hybridMultilevel"/>
    <w:tmpl w:val="6158C39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9497548"/>
    <w:multiLevelType w:val="hybridMultilevel"/>
    <w:tmpl w:val="226E52A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96109A4"/>
    <w:multiLevelType w:val="hybridMultilevel"/>
    <w:tmpl w:val="26BC52BE"/>
    <w:lvl w:ilvl="0" w:tplc="D3E0D5BA">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A2B3952"/>
    <w:multiLevelType w:val="hybridMultilevel"/>
    <w:tmpl w:val="E3B643EE"/>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D8429EC"/>
    <w:multiLevelType w:val="hybridMultilevel"/>
    <w:tmpl w:val="661234AA"/>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4"/>
  </w:num>
  <w:num w:numId="6">
    <w:abstractNumId w:val="16"/>
  </w:num>
  <w:num w:numId="7">
    <w:abstractNumId w:val="2"/>
  </w:num>
  <w:num w:numId="8">
    <w:abstractNumId w:val="15"/>
  </w:num>
  <w:num w:numId="9">
    <w:abstractNumId w:val="0"/>
  </w:num>
  <w:num w:numId="10">
    <w:abstractNumId w:val="17"/>
  </w:num>
  <w:num w:numId="11">
    <w:abstractNumId w:val="3"/>
  </w:num>
  <w:num w:numId="12">
    <w:abstractNumId w:val="1"/>
  </w:num>
  <w:num w:numId="13">
    <w:abstractNumId w:val="12"/>
  </w:num>
  <w:num w:numId="14">
    <w:abstractNumId w:val="8"/>
  </w:num>
  <w:num w:numId="15">
    <w:abstractNumId w:val="9"/>
  </w:num>
  <w:num w:numId="16">
    <w:abstractNumId w:val="23"/>
  </w:num>
  <w:num w:numId="17">
    <w:abstractNumId w:val="21"/>
  </w:num>
  <w:num w:numId="18">
    <w:abstractNumId w:val="20"/>
  </w:num>
  <w:num w:numId="19">
    <w:abstractNumId w:val="22"/>
  </w:num>
  <w:num w:numId="20">
    <w:abstractNumId w:val="18"/>
  </w:num>
  <w:num w:numId="21">
    <w:abstractNumId w:val="14"/>
  </w:num>
  <w:num w:numId="22">
    <w:abstractNumId w:val="11"/>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9E"/>
    <w:rsid w:val="00003EA7"/>
    <w:rsid w:val="00005561"/>
    <w:rsid w:val="000102F5"/>
    <w:rsid w:val="000114F9"/>
    <w:rsid w:val="00013C7F"/>
    <w:rsid w:val="00017997"/>
    <w:rsid w:val="00020FE7"/>
    <w:rsid w:val="000231A6"/>
    <w:rsid w:val="00024D94"/>
    <w:rsid w:val="00024F4A"/>
    <w:rsid w:val="00025022"/>
    <w:rsid w:val="000279E6"/>
    <w:rsid w:val="0003128B"/>
    <w:rsid w:val="00033291"/>
    <w:rsid w:val="00033C44"/>
    <w:rsid w:val="00034BDE"/>
    <w:rsid w:val="00035EE5"/>
    <w:rsid w:val="00035F4F"/>
    <w:rsid w:val="0003704A"/>
    <w:rsid w:val="000425B8"/>
    <w:rsid w:val="000442F8"/>
    <w:rsid w:val="00046D4D"/>
    <w:rsid w:val="00050AA8"/>
    <w:rsid w:val="00050F31"/>
    <w:rsid w:val="00051B3E"/>
    <w:rsid w:val="00052551"/>
    <w:rsid w:val="00052D99"/>
    <w:rsid w:val="00052E62"/>
    <w:rsid w:val="0005545C"/>
    <w:rsid w:val="00057CDE"/>
    <w:rsid w:val="00065B31"/>
    <w:rsid w:val="000709A0"/>
    <w:rsid w:val="0007358D"/>
    <w:rsid w:val="00074F2A"/>
    <w:rsid w:val="000759B1"/>
    <w:rsid w:val="00076437"/>
    <w:rsid w:val="000804A3"/>
    <w:rsid w:val="00081218"/>
    <w:rsid w:val="00081D06"/>
    <w:rsid w:val="00082D9C"/>
    <w:rsid w:val="00082EEA"/>
    <w:rsid w:val="0008343B"/>
    <w:rsid w:val="0008628E"/>
    <w:rsid w:val="0009118C"/>
    <w:rsid w:val="0009125F"/>
    <w:rsid w:val="0009176D"/>
    <w:rsid w:val="000921F2"/>
    <w:rsid w:val="00092998"/>
    <w:rsid w:val="00092D7A"/>
    <w:rsid w:val="000951EC"/>
    <w:rsid w:val="00095F05"/>
    <w:rsid w:val="000960E9"/>
    <w:rsid w:val="00096DFF"/>
    <w:rsid w:val="00096ED8"/>
    <w:rsid w:val="000975B6"/>
    <w:rsid w:val="000A06DF"/>
    <w:rsid w:val="000A1F73"/>
    <w:rsid w:val="000A2A40"/>
    <w:rsid w:val="000A5892"/>
    <w:rsid w:val="000B1CAC"/>
    <w:rsid w:val="000B2CA1"/>
    <w:rsid w:val="000B3573"/>
    <w:rsid w:val="000B6BC4"/>
    <w:rsid w:val="000B7B09"/>
    <w:rsid w:val="000C0804"/>
    <w:rsid w:val="000C0936"/>
    <w:rsid w:val="000C202D"/>
    <w:rsid w:val="000C2B44"/>
    <w:rsid w:val="000C2D39"/>
    <w:rsid w:val="000C3BCF"/>
    <w:rsid w:val="000C4D29"/>
    <w:rsid w:val="000C5CEC"/>
    <w:rsid w:val="000C6356"/>
    <w:rsid w:val="000C6CE2"/>
    <w:rsid w:val="000D3452"/>
    <w:rsid w:val="000D4775"/>
    <w:rsid w:val="000D52A8"/>
    <w:rsid w:val="000D5659"/>
    <w:rsid w:val="000D5EA4"/>
    <w:rsid w:val="000D6222"/>
    <w:rsid w:val="000E0D23"/>
    <w:rsid w:val="000E33B4"/>
    <w:rsid w:val="000E58DA"/>
    <w:rsid w:val="000E596A"/>
    <w:rsid w:val="000F0AD3"/>
    <w:rsid w:val="000F0E55"/>
    <w:rsid w:val="000F148D"/>
    <w:rsid w:val="000F34DE"/>
    <w:rsid w:val="000F5FFC"/>
    <w:rsid w:val="000F60D0"/>
    <w:rsid w:val="001007C7"/>
    <w:rsid w:val="00101F2B"/>
    <w:rsid w:val="001046D2"/>
    <w:rsid w:val="00104F9D"/>
    <w:rsid w:val="00105457"/>
    <w:rsid w:val="00105960"/>
    <w:rsid w:val="00105E08"/>
    <w:rsid w:val="001134CB"/>
    <w:rsid w:val="00114978"/>
    <w:rsid w:val="00115228"/>
    <w:rsid w:val="001160B3"/>
    <w:rsid w:val="00116153"/>
    <w:rsid w:val="00116577"/>
    <w:rsid w:val="001168F7"/>
    <w:rsid w:val="00116AB1"/>
    <w:rsid w:val="00121500"/>
    <w:rsid w:val="00121A33"/>
    <w:rsid w:val="00121BD3"/>
    <w:rsid w:val="001222FC"/>
    <w:rsid w:val="00123296"/>
    <w:rsid w:val="00123B2C"/>
    <w:rsid w:val="00124472"/>
    <w:rsid w:val="00126CAB"/>
    <w:rsid w:val="0012732A"/>
    <w:rsid w:val="00127FA7"/>
    <w:rsid w:val="001312AE"/>
    <w:rsid w:val="001333E4"/>
    <w:rsid w:val="00133A61"/>
    <w:rsid w:val="00133AFD"/>
    <w:rsid w:val="0013509A"/>
    <w:rsid w:val="001356AA"/>
    <w:rsid w:val="00140536"/>
    <w:rsid w:val="00143246"/>
    <w:rsid w:val="0014389A"/>
    <w:rsid w:val="00143B5B"/>
    <w:rsid w:val="00145E13"/>
    <w:rsid w:val="00152C88"/>
    <w:rsid w:val="001540DD"/>
    <w:rsid w:val="001544C2"/>
    <w:rsid w:val="00156C86"/>
    <w:rsid w:val="0016296E"/>
    <w:rsid w:val="00163EB6"/>
    <w:rsid w:val="00163F39"/>
    <w:rsid w:val="00164D75"/>
    <w:rsid w:val="00166C8B"/>
    <w:rsid w:val="001705F7"/>
    <w:rsid w:val="00171236"/>
    <w:rsid w:val="00172F4A"/>
    <w:rsid w:val="00177DEB"/>
    <w:rsid w:val="00177FD0"/>
    <w:rsid w:val="001800B5"/>
    <w:rsid w:val="00180B80"/>
    <w:rsid w:val="00181521"/>
    <w:rsid w:val="001818D7"/>
    <w:rsid w:val="00186FCD"/>
    <w:rsid w:val="00190532"/>
    <w:rsid w:val="001917ED"/>
    <w:rsid w:val="00193DFE"/>
    <w:rsid w:val="00196483"/>
    <w:rsid w:val="001966D9"/>
    <w:rsid w:val="00197E3F"/>
    <w:rsid w:val="001A1407"/>
    <w:rsid w:val="001A307E"/>
    <w:rsid w:val="001A3A4B"/>
    <w:rsid w:val="001A5BA9"/>
    <w:rsid w:val="001A62D7"/>
    <w:rsid w:val="001B2F13"/>
    <w:rsid w:val="001B46BA"/>
    <w:rsid w:val="001B5AA5"/>
    <w:rsid w:val="001B7CB7"/>
    <w:rsid w:val="001B7F91"/>
    <w:rsid w:val="001C1C21"/>
    <w:rsid w:val="001C5878"/>
    <w:rsid w:val="001C59A8"/>
    <w:rsid w:val="001C7B29"/>
    <w:rsid w:val="001D0328"/>
    <w:rsid w:val="001D0429"/>
    <w:rsid w:val="001D0FFD"/>
    <w:rsid w:val="001D1451"/>
    <w:rsid w:val="001D192F"/>
    <w:rsid w:val="001D2641"/>
    <w:rsid w:val="001D3216"/>
    <w:rsid w:val="001D59B2"/>
    <w:rsid w:val="001D69AE"/>
    <w:rsid w:val="001D7175"/>
    <w:rsid w:val="001D727F"/>
    <w:rsid w:val="001E0035"/>
    <w:rsid w:val="001E02D9"/>
    <w:rsid w:val="001E0E34"/>
    <w:rsid w:val="001E1A94"/>
    <w:rsid w:val="001E32BD"/>
    <w:rsid w:val="001E7397"/>
    <w:rsid w:val="001E7E96"/>
    <w:rsid w:val="001F0C7D"/>
    <w:rsid w:val="001F173B"/>
    <w:rsid w:val="001F1ADF"/>
    <w:rsid w:val="001F2032"/>
    <w:rsid w:val="001F3CBF"/>
    <w:rsid w:val="001F6289"/>
    <w:rsid w:val="001F711F"/>
    <w:rsid w:val="001F7B88"/>
    <w:rsid w:val="00201621"/>
    <w:rsid w:val="00201C57"/>
    <w:rsid w:val="00203902"/>
    <w:rsid w:val="002040D6"/>
    <w:rsid w:val="002053BD"/>
    <w:rsid w:val="0020578F"/>
    <w:rsid w:val="002069DD"/>
    <w:rsid w:val="00206F4F"/>
    <w:rsid w:val="0020755D"/>
    <w:rsid w:val="002105FA"/>
    <w:rsid w:val="00211CB8"/>
    <w:rsid w:val="00213FA9"/>
    <w:rsid w:val="002151A8"/>
    <w:rsid w:val="00216D9F"/>
    <w:rsid w:val="002177CE"/>
    <w:rsid w:val="00217F00"/>
    <w:rsid w:val="00220DAA"/>
    <w:rsid w:val="00224A21"/>
    <w:rsid w:val="00225772"/>
    <w:rsid w:val="00226272"/>
    <w:rsid w:val="00227C6E"/>
    <w:rsid w:val="00232389"/>
    <w:rsid w:val="00233FD7"/>
    <w:rsid w:val="00235AD9"/>
    <w:rsid w:val="00235E56"/>
    <w:rsid w:val="00236303"/>
    <w:rsid w:val="002379C7"/>
    <w:rsid w:val="002405FA"/>
    <w:rsid w:val="002410A5"/>
    <w:rsid w:val="002416E3"/>
    <w:rsid w:val="0024199E"/>
    <w:rsid w:val="00242960"/>
    <w:rsid w:val="00242D22"/>
    <w:rsid w:val="00250235"/>
    <w:rsid w:val="00251984"/>
    <w:rsid w:val="00251E50"/>
    <w:rsid w:val="00253165"/>
    <w:rsid w:val="002538C9"/>
    <w:rsid w:val="002543B9"/>
    <w:rsid w:val="002559C8"/>
    <w:rsid w:val="002607F2"/>
    <w:rsid w:val="00261F67"/>
    <w:rsid w:val="0026310A"/>
    <w:rsid w:val="00263E79"/>
    <w:rsid w:val="0026552F"/>
    <w:rsid w:val="00271711"/>
    <w:rsid w:val="00272AC4"/>
    <w:rsid w:val="00273841"/>
    <w:rsid w:val="00273D8A"/>
    <w:rsid w:val="00274A09"/>
    <w:rsid w:val="00275388"/>
    <w:rsid w:val="0027690B"/>
    <w:rsid w:val="002801A3"/>
    <w:rsid w:val="00280831"/>
    <w:rsid w:val="00282D84"/>
    <w:rsid w:val="00282EFB"/>
    <w:rsid w:val="002847EB"/>
    <w:rsid w:val="00287246"/>
    <w:rsid w:val="002872DC"/>
    <w:rsid w:val="002878DC"/>
    <w:rsid w:val="00292A96"/>
    <w:rsid w:val="0029475D"/>
    <w:rsid w:val="002963FC"/>
    <w:rsid w:val="00296C3E"/>
    <w:rsid w:val="002A033A"/>
    <w:rsid w:val="002A0C98"/>
    <w:rsid w:val="002A1D5F"/>
    <w:rsid w:val="002A202A"/>
    <w:rsid w:val="002A2D1A"/>
    <w:rsid w:val="002A3B58"/>
    <w:rsid w:val="002A593C"/>
    <w:rsid w:val="002B554E"/>
    <w:rsid w:val="002B57D5"/>
    <w:rsid w:val="002B6943"/>
    <w:rsid w:val="002B6A66"/>
    <w:rsid w:val="002C0AA6"/>
    <w:rsid w:val="002C290C"/>
    <w:rsid w:val="002C31B6"/>
    <w:rsid w:val="002C4FF3"/>
    <w:rsid w:val="002C529C"/>
    <w:rsid w:val="002C5F16"/>
    <w:rsid w:val="002C6FAF"/>
    <w:rsid w:val="002C788F"/>
    <w:rsid w:val="002D1B2F"/>
    <w:rsid w:val="002D3A6E"/>
    <w:rsid w:val="002D53E2"/>
    <w:rsid w:val="002D7783"/>
    <w:rsid w:val="002E1DB4"/>
    <w:rsid w:val="002E6014"/>
    <w:rsid w:val="002F2238"/>
    <w:rsid w:val="002F24D5"/>
    <w:rsid w:val="002F2A33"/>
    <w:rsid w:val="002F5292"/>
    <w:rsid w:val="002F58FA"/>
    <w:rsid w:val="002F6519"/>
    <w:rsid w:val="002F7C87"/>
    <w:rsid w:val="00300833"/>
    <w:rsid w:val="0030398B"/>
    <w:rsid w:val="00305B1E"/>
    <w:rsid w:val="00305F4F"/>
    <w:rsid w:val="00310CC6"/>
    <w:rsid w:val="0031319D"/>
    <w:rsid w:val="003133EA"/>
    <w:rsid w:val="00314090"/>
    <w:rsid w:val="00316886"/>
    <w:rsid w:val="003175EE"/>
    <w:rsid w:val="003201EA"/>
    <w:rsid w:val="003204D5"/>
    <w:rsid w:val="00324BA2"/>
    <w:rsid w:val="003277ED"/>
    <w:rsid w:val="00331252"/>
    <w:rsid w:val="00331370"/>
    <w:rsid w:val="0033262E"/>
    <w:rsid w:val="00336A77"/>
    <w:rsid w:val="00337632"/>
    <w:rsid w:val="003413C8"/>
    <w:rsid w:val="0034353A"/>
    <w:rsid w:val="00344273"/>
    <w:rsid w:val="003463B3"/>
    <w:rsid w:val="0034656E"/>
    <w:rsid w:val="003467A7"/>
    <w:rsid w:val="00346D71"/>
    <w:rsid w:val="00346F66"/>
    <w:rsid w:val="003470BC"/>
    <w:rsid w:val="00347917"/>
    <w:rsid w:val="00347947"/>
    <w:rsid w:val="003506EB"/>
    <w:rsid w:val="00350D99"/>
    <w:rsid w:val="00352C41"/>
    <w:rsid w:val="003537CB"/>
    <w:rsid w:val="003548DF"/>
    <w:rsid w:val="003563A5"/>
    <w:rsid w:val="0035685C"/>
    <w:rsid w:val="00360B9C"/>
    <w:rsid w:val="00360C74"/>
    <w:rsid w:val="003610A3"/>
    <w:rsid w:val="003610D1"/>
    <w:rsid w:val="00362C3B"/>
    <w:rsid w:val="00362ECF"/>
    <w:rsid w:val="003634AD"/>
    <w:rsid w:val="00363BFE"/>
    <w:rsid w:val="00366831"/>
    <w:rsid w:val="0036737C"/>
    <w:rsid w:val="003703C8"/>
    <w:rsid w:val="0037397E"/>
    <w:rsid w:val="00373C31"/>
    <w:rsid w:val="00376752"/>
    <w:rsid w:val="00380D18"/>
    <w:rsid w:val="00381B56"/>
    <w:rsid w:val="003840EC"/>
    <w:rsid w:val="0038604B"/>
    <w:rsid w:val="0038628D"/>
    <w:rsid w:val="00387CBD"/>
    <w:rsid w:val="003907AC"/>
    <w:rsid w:val="003908F1"/>
    <w:rsid w:val="00392A77"/>
    <w:rsid w:val="003933B6"/>
    <w:rsid w:val="00395A8B"/>
    <w:rsid w:val="003A0EDC"/>
    <w:rsid w:val="003A15D2"/>
    <w:rsid w:val="003A2011"/>
    <w:rsid w:val="003A67BB"/>
    <w:rsid w:val="003A737B"/>
    <w:rsid w:val="003B2419"/>
    <w:rsid w:val="003B5BFD"/>
    <w:rsid w:val="003B6CAB"/>
    <w:rsid w:val="003C244F"/>
    <w:rsid w:val="003C76AD"/>
    <w:rsid w:val="003C79CB"/>
    <w:rsid w:val="003D0B9D"/>
    <w:rsid w:val="003D162C"/>
    <w:rsid w:val="003D2070"/>
    <w:rsid w:val="003D265E"/>
    <w:rsid w:val="003D36C9"/>
    <w:rsid w:val="003D5A51"/>
    <w:rsid w:val="003D7055"/>
    <w:rsid w:val="003E03A8"/>
    <w:rsid w:val="003E465E"/>
    <w:rsid w:val="003E62C4"/>
    <w:rsid w:val="003E6C3A"/>
    <w:rsid w:val="003F014C"/>
    <w:rsid w:val="003F0F16"/>
    <w:rsid w:val="003F2F34"/>
    <w:rsid w:val="003F3A2E"/>
    <w:rsid w:val="003F45E9"/>
    <w:rsid w:val="003F4F77"/>
    <w:rsid w:val="003F62A2"/>
    <w:rsid w:val="003F675A"/>
    <w:rsid w:val="003F6EC7"/>
    <w:rsid w:val="003F6F3B"/>
    <w:rsid w:val="00406EE2"/>
    <w:rsid w:val="00410CEC"/>
    <w:rsid w:val="00413157"/>
    <w:rsid w:val="0041400F"/>
    <w:rsid w:val="00416A41"/>
    <w:rsid w:val="00417621"/>
    <w:rsid w:val="0042119D"/>
    <w:rsid w:val="00424695"/>
    <w:rsid w:val="00424DCB"/>
    <w:rsid w:val="00430AE9"/>
    <w:rsid w:val="00435DBE"/>
    <w:rsid w:val="00436965"/>
    <w:rsid w:val="0044091B"/>
    <w:rsid w:val="00441361"/>
    <w:rsid w:val="00441433"/>
    <w:rsid w:val="00442323"/>
    <w:rsid w:val="00443F52"/>
    <w:rsid w:val="00444850"/>
    <w:rsid w:val="0044583D"/>
    <w:rsid w:val="004461C3"/>
    <w:rsid w:val="00446DBB"/>
    <w:rsid w:val="00450F74"/>
    <w:rsid w:val="00451A0F"/>
    <w:rsid w:val="00451FBC"/>
    <w:rsid w:val="00452FEE"/>
    <w:rsid w:val="004534CE"/>
    <w:rsid w:val="004540EE"/>
    <w:rsid w:val="00454DED"/>
    <w:rsid w:val="00462FBA"/>
    <w:rsid w:val="00466348"/>
    <w:rsid w:val="0046654B"/>
    <w:rsid w:val="00466B7C"/>
    <w:rsid w:val="00472DCF"/>
    <w:rsid w:val="00473038"/>
    <w:rsid w:val="004756E5"/>
    <w:rsid w:val="00477257"/>
    <w:rsid w:val="00480692"/>
    <w:rsid w:val="00481819"/>
    <w:rsid w:val="00482CC9"/>
    <w:rsid w:val="00485A5A"/>
    <w:rsid w:val="00486EBB"/>
    <w:rsid w:val="00487060"/>
    <w:rsid w:val="00491F1E"/>
    <w:rsid w:val="00495A52"/>
    <w:rsid w:val="004976BA"/>
    <w:rsid w:val="004A2D95"/>
    <w:rsid w:val="004A4933"/>
    <w:rsid w:val="004A4FCD"/>
    <w:rsid w:val="004A592A"/>
    <w:rsid w:val="004A6283"/>
    <w:rsid w:val="004B00A2"/>
    <w:rsid w:val="004B148F"/>
    <w:rsid w:val="004B2565"/>
    <w:rsid w:val="004B366E"/>
    <w:rsid w:val="004C003C"/>
    <w:rsid w:val="004C12F8"/>
    <w:rsid w:val="004C34EA"/>
    <w:rsid w:val="004C3E96"/>
    <w:rsid w:val="004C597C"/>
    <w:rsid w:val="004C7885"/>
    <w:rsid w:val="004D0FC4"/>
    <w:rsid w:val="004D1530"/>
    <w:rsid w:val="004D1FC3"/>
    <w:rsid w:val="004D328F"/>
    <w:rsid w:val="004D5A34"/>
    <w:rsid w:val="004D783B"/>
    <w:rsid w:val="004E1D8D"/>
    <w:rsid w:val="004E2D12"/>
    <w:rsid w:val="004E5C75"/>
    <w:rsid w:val="004E65F0"/>
    <w:rsid w:val="004E68EA"/>
    <w:rsid w:val="004E785A"/>
    <w:rsid w:val="004F0841"/>
    <w:rsid w:val="004F2CC7"/>
    <w:rsid w:val="004F3716"/>
    <w:rsid w:val="004F4300"/>
    <w:rsid w:val="004F542F"/>
    <w:rsid w:val="004F5B33"/>
    <w:rsid w:val="00502EB3"/>
    <w:rsid w:val="0050459B"/>
    <w:rsid w:val="00505D37"/>
    <w:rsid w:val="00507002"/>
    <w:rsid w:val="0050781E"/>
    <w:rsid w:val="00507C96"/>
    <w:rsid w:val="00511585"/>
    <w:rsid w:val="00512709"/>
    <w:rsid w:val="0051288E"/>
    <w:rsid w:val="00514BD5"/>
    <w:rsid w:val="00517D1D"/>
    <w:rsid w:val="00517F08"/>
    <w:rsid w:val="00521CB8"/>
    <w:rsid w:val="005278B6"/>
    <w:rsid w:val="005321AA"/>
    <w:rsid w:val="005326B9"/>
    <w:rsid w:val="00534FA9"/>
    <w:rsid w:val="0053786B"/>
    <w:rsid w:val="005415B1"/>
    <w:rsid w:val="005416E9"/>
    <w:rsid w:val="00543C7C"/>
    <w:rsid w:val="00544471"/>
    <w:rsid w:val="00545E2D"/>
    <w:rsid w:val="0055028B"/>
    <w:rsid w:val="005508BF"/>
    <w:rsid w:val="00552E7B"/>
    <w:rsid w:val="00554C1A"/>
    <w:rsid w:val="005551D1"/>
    <w:rsid w:val="0056032A"/>
    <w:rsid w:val="00560C84"/>
    <w:rsid w:val="0056121E"/>
    <w:rsid w:val="00565F2A"/>
    <w:rsid w:val="00567439"/>
    <w:rsid w:val="00567586"/>
    <w:rsid w:val="00572CB0"/>
    <w:rsid w:val="00573F9F"/>
    <w:rsid w:val="005756B5"/>
    <w:rsid w:val="005759EA"/>
    <w:rsid w:val="005761C8"/>
    <w:rsid w:val="00576A77"/>
    <w:rsid w:val="005770E1"/>
    <w:rsid w:val="0057793C"/>
    <w:rsid w:val="00580EAA"/>
    <w:rsid w:val="00582C3F"/>
    <w:rsid w:val="005835FD"/>
    <w:rsid w:val="0058793E"/>
    <w:rsid w:val="00590C36"/>
    <w:rsid w:val="0059137B"/>
    <w:rsid w:val="00591FDC"/>
    <w:rsid w:val="00592F56"/>
    <w:rsid w:val="00594C33"/>
    <w:rsid w:val="00595BAE"/>
    <w:rsid w:val="00596537"/>
    <w:rsid w:val="005A0843"/>
    <w:rsid w:val="005A4719"/>
    <w:rsid w:val="005A4A76"/>
    <w:rsid w:val="005A4B1F"/>
    <w:rsid w:val="005A6C35"/>
    <w:rsid w:val="005B071A"/>
    <w:rsid w:val="005B08D8"/>
    <w:rsid w:val="005B3877"/>
    <w:rsid w:val="005B41BC"/>
    <w:rsid w:val="005B42FB"/>
    <w:rsid w:val="005C25DF"/>
    <w:rsid w:val="005C27CF"/>
    <w:rsid w:val="005C4019"/>
    <w:rsid w:val="005D17E2"/>
    <w:rsid w:val="005D27B8"/>
    <w:rsid w:val="005D27F6"/>
    <w:rsid w:val="005D4E04"/>
    <w:rsid w:val="005D5F82"/>
    <w:rsid w:val="005E4A0E"/>
    <w:rsid w:val="005E4E55"/>
    <w:rsid w:val="005E60A4"/>
    <w:rsid w:val="005E6D29"/>
    <w:rsid w:val="005E7827"/>
    <w:rsid w:val="005F0A95"/>
    <w:rsid w:val="005F0BC4"/>
    <w:rsid w:val="005F1B95"/>
    <w:rsid w:val="005F204D"/>
    <w:rsid w:val="005F2720"/>
    <w:rsid w:val="00600D42"/>
    <w:rsid w:val="00602347"/>
    <w:rsid w:val="0060394F"/>
    <w:rsid w:val="006041AE"/>
    <w:rsid w:val="006048E1"/>
    <w:rsid w:val="006054D1"/>
    <w:rsid w:val="00610E41"/>
    <w:rsid w:val="006113BB"/>
    <w:rsid w:val="00612C46"/>
    <w:rsid w:val="00613823"/>
    <w:rsid w:val="00613C73"/>
    <w:rsid w:val="00613E74"/>
    <w:rsid w:val="006152B1"/>
    <w:rsid w:val="0061612A"/>
    <w:rsid w:val="00620510"/>
    <w:rsid w:val="00620577"/>
    <w:rsid w:val="00621216"/>
    <w:rsid w:val="00621DF2"/>
    <w:rsid w:val="00630126"/>
    <w:rsid w:val="00630B1B"/>
    <w:rsid w:val="00631EAB"/>
    <w:rsid w:val="00634F1F"/>
    <w:rsid w:val="0063684D"/>
    <w:rsid w:val="0063740E"/>
    <w:rsid w:val="00640E74"/>
    <w:rsid w:val="006426D4"/>
    <w:rsid w:val="00642B2E"/>
    <w:rsid w:val="00644E38"/>
    <w:rsid w:val="00646251"/>
    <w:rsid w:val="0064754A"/>
    <w:rsid w:val="00647F42"/>
    <w:rsid w:val="00651B7A"/>
    <w:rsid w:val="00653E05"/>
    <w:rsid w:val="00654D4A"/>
    <w:rsid w:val="00655707"/>
    <w:rsid w:val="00656135"/>
    <w:rsid w:val="006609ED"/>
    <w:rsid w:val="0066307B"/>
    <w:rsid w:val="00664BEC"/>
    <w:rsid w:val="00670206"/>
    <w:rsid w:val="00674834"/>
    <w:rsid w:val="00674968"/>
    <w:rsid w:val="006772E8"/>
    <w:rsid w:val="00682A97"/>
    <w:rsid w:val="0068468D"/>
    <w:rsid w:val="00685962"/>
    <w:rsid w:val="00687369"/>
    <w:rsid w:val="0068781A"/>
    <w:rsid w:val="006909E7"/>
    <w:rsid w:val="00690B63"/>
    <w:rsid w:val="0069117F"/>
    <w:rsid w:val="006912CE"/>
    <w:rsid w:val="00692D9A"/>
    <w:rsid w:val="00693975"/>
    <w:rsid w:val="00694E79"/>
    <w:rsid w:val="006960DD"/>
    <w:rsid w:val="006A32EC"/>
    <w:rsid w:val="006A332E"/>
    <w:rsid w:val="006A353A"/>
    <w:rsid w:val="006A47A1"/>
    <w:rsid w:val="006A4FF3"/>
    <w:rsid w:val="006A555F"/>
    <w:rsid w:val="006A5697"/>
    <w:rsid w:val="006A7CC8"/>
    <w:rsid w:val="006A7FB8"/>
    <w:rsid w:val="006B10D8"/>
    <w:rsid w:val="006B315D"/>
    <w:rsid w:val="006B45F2"/>
    <w:rsid w:val="006B7F9E"/>
    <w:rsid w:val="006C2347"/>
    <w:rsid w:val="006C2F0E"/>
    <w:rsid w:val="006C338D"/>
    <w:rsid w:val="006C4EE8"/>
    <w:rsid w:val="006C5031"/>
    <w:rsid w:val="006C52D3"/>
    <w:rsid w:val="006C7C09"/>
    <w:rsid w:val="006D0D35"/>
    <w:rsid w:val="006D2F9B"/>
    <w:rsid w:val="006D3C08"/>
    <w:rsid w:val="006D451D"/>
    <w:rsid w:val="006D7E38"/>
    <w:rsid w:val="006E19A0"/>
    <w:rsid w:val="006E2881"/>
    <w:rsid w:val="006E49A7"/>
    <w:rsid w:val="006F0148"/>
    <w:rsid w:val="006F214C"/>
    <w:rsid w:val="007020F3"/>
    <w:rsid w:val="007043E4"/>
    <w:rsid w:val="0070448B"/>
    <w:rsid w:val="0070514A"/>
    <w:rsid w:val="00705BAC"/>
    <w:rsid w:val="00706E9D"/>
    <w:rsid w:val="00707A84"/>
    <w:rsid w:val="00707AA5"/>
    <w:rsid w:val="00707B55"/>
    <w:rsid w:val="007116F6"/>
    <w:rsid w:val="00711D0C"/>
    <w:rsid w:val="0071230B"/>
    <w:rsid w:val="00713FFB"/>
    <w:rsid w:val="00715819"/>
    <w:rsid w:val="007167C4"/>
    <w:rsid w:val="00720918"/>
    <w:rsid w:val="00724201"/>
    <w:rsid w:val="00724888"/>
    <w:rsid w:val="00725C36"/>
    <w:rsid w:val="00726045"/>
    <w:rsid w:val="007262C1"/>
    <w:rsid w:val="00726D2A"/>
    <w:rsid w:val="007316F1"/>
    <w:rsid w:val="00731B92"/>
    <w:rsid w:val="00733530"/>
    <w:rsid w:val="00736CB9"/>
    <w:rsid w:val="007412A1"/>
    <w:rsid w:val="00741687"/>
    <w:rsid w:val="0074446E"/>
    <w:rsid w:val="00744B11"/>
    <w:rsid w:val="00745B0B"/>
    <w:rsid w:val="00750DBC"/>
    <w:rsid w:val="0075586F"/>
    <w:rsid w:val="007560FE"/>
    <w:rsid w:val="00757F69"/>
    <w:rsid w:val="007602B1"/>
    <w:rsid w:val="007603D2"/>
    <w:rsid w:val="0076435D"/>
    <w:rsid w:val="00764F5A"/>
    <w:rsid w:val="00765FF3"/>
    <w:rsid w:val="00772A2D"/>
    <w:rsid w:val="0077384E"/>
    <w:rsid w:val="00774F58"/>
    <w:rsid w:val="00775C6B"/>
    <w:rsid w:val="00776133"/>
    <w:rsid w:val="00777FA8"/>
    <w:rsid w:val="00780E39"/>
    <w:rsid w:val="00781852"/>
    <w:rsid w:val="007820F8"/>
    <w:rsid w:val="00782A4C"/>
    <w:rsid w:val="00785C7F"/>
    <w:rsid w:val="00786225"/>
    <w:rsid w:val="00790CB7"/>
    <w:rsid w:val="00791200"/>
    <w:rsid w:val="00791F57"/>
    <w:rsid w:val="00793F23"/>
    <w:rsid w:val="00794425"/>
    <w:rsid w:val="00795906"/>
    <w:rsid w:val="00796196"/>
    <w:rsid w:val="007A017E"/>
    <w:rsid w:val="007B2186"/>
    <w:rsid w:val="007B3667"/>
    <w:rsid w:val="007B391C"/>
    <w:rsid w:val="007B440D"/>
    <w:rsid w:val="007B59B5"/>
    <w:rsid w:val="007B661C"/>
    <w:rsid w:val="007C0664"/>
    <w:rsid w:val="007C0A1A"/>
    <w:rsid w:val="007C1165"/>
    <w:rsid w:val="007C2029"/>
    <w:rsid w:val="007C2A83"/>
    <w:rsid w:val="007C36ED"/>
    <w:rsid w:val="007C4392"/>
    <w:rsid w:val="007C5258"/>
    <w:rsid w:val="007C5264"/>
    <w:rsid w:val="007C76CE"/>
    <w:rsid w:val="007C7A56"/>
    <w:rsid w:val="007D0B14"/>
    <w:rsid w:val="007D2D08"/>
    <w:rsid w:val="007D4344"/>
    <w:rsid w:val="007D4530"/>
    <w:rsid w:val="007D68C1"/>
    <w:rsid w:val="007D7C70"/>
    <w:rsid w:val="007E01D4"/>
    <w:rsid w:val="007E05D3"/>
    <w:rsid w:val="007E2F6D"/>
    <w:rsid w:val="007E33D6"/>
    <w:rsid w:val="007E6197"/>
    <w:rsid w:val="007F02E8"/>
    <w:rsid w:val="007F1E60"/>
    <w:rsid w:val="007F43B3"/>
    <w:rsid w:val="007F45B5"/>
    <w:rsid w:val="007F540D"/>
    <w:rsid w:val="007F5EEB"/>
    <w:rsid w:val="007F6846"/>
    <w:rsid w:val="007F6D45"/>
    <w:rsid w:val="007F755C"/>
    <w:rsid w:val="0080457C"/>
    <w:rsid w:val="00804C6C"/>
    <w:rsid w:val="0080630C"/>
    <w:rsid w:val="00806814"/>
    <w:rsid w:val="0080681C"/>
    <w:rsid w:val="00807931"/>
    <w:rsid w:val="00807A82"/>
    <w:rsid w:val="00812D67"/>
    <w:rsid w:val="0081400A"/>
    <w:rsid w:val="00814BB8"/>
    <w:rsid w:val="00814C6E"/>
    <w:rsid w:val="0081651F"/>
    <w:rsid w:val="0081715A"/>
    <w:rsid w:val="008174BB"/>
    <w:rsid w:val="00820AB8"/>
    <w:rsid w:val="00822B54"/>
    <w:rsid w:val="00822C99"/>
    <w:rsid w:val="00822E1A"/>
    <w:rsid w:val="00823A48"/>
    <w:rsid w:val="0082577B"/>
    <w:rsid w:val="00825D05"/>
    <w:rsid w:val="00834216"/>
    <w:rsid w:val="00835861"/>
    <w:rsid w:val="0083625F"/>
    <w:rsid w:val="00840907"/>
    <w:rsid w:val="00841B03"/>
    <w:rsid w:val="0084231A"/>
    <w:rsid w:val="008427EA"/>
    <w:rsid w:val="00843468"/>
    <w:rsid w:val="008450F1"/>
    <w:rsid w:val="00846191"/>
    <w:rsid w:val="00846CE6"/>
    <w:rsid w:val="00850224"/>
    <w:rsid w:val="00850C0C"/>
    <w:rsid w:val="00852152"/>
    <w:rsid w:val="0085267F"/>
    <w:rsid w:val="0086324B"/>
    <w:rsid w:val="00863E58"/>
    <w:rsid w:val="00865363"/>
    <w:rsid w:val="00865E88"/>
    <w:rsid w:val="008678F3"/>
    <w:rsid w:val="00870E3D"/>
    <w:rsid w:val="00871C48"/>
    <w:rsid w:val="008760B2"/>
    <w:rsid w:val="0088334E"/>
    <w:rsid w:val="008843A4"/>
    <w:rsid w:val="00885116"/>
    <w:rsid w:val="00887277"/>
    <w:rsid w:val="0088757F"/>
    <w:rsid w:val="00887692"/>
    <w:rsid w:val="008878AF"/>
    <w:rsid w:val="00891E94"/>
    <w:rsid w:val="008927FD"/>
    <w:rsid w:val="008943F8"/>
    <w:rsid w:val="00894B88"/>
    <w:rsid w:val="00894F94"/>
    <w:rsid w:val="0089613D"/>
    <w:rsid w:val="00896AA9"/>
    <w:rsid w:val="00897F3D"/>
    <w:rsid w:val="008A0C49"/>
    <w:rsid w:val="008A2DC7"/>
    <w:rsid w:val="008A4303"/>
    <w:rsid w:val="008A45F1"/>
    <w:rsid w:val="008A601F"/>
    <w:rsid w:val="008A7430"/>
    <w:rsid w:val="008A7D12"/>
    <w:rsid w:val="008A7DBC"/>
    <w:rsid w:val="008B075E"/>
    <w:rsid w:val="008B3800"/>
    <w:rsid w:val="008B4562"/>
    <w:rsid w:val="008B45A2"/>
    <w:rsid w:val="008B5561"/>
    <w:rsid w:val="008B5863"/>
    <w:rsid w:val="008B5AB9"/>
    <w:rsid w:val="008B60E2"/>
    <w:rsid w:val="008B621A"/>
    <w:rsid w:val="008B62EF"/>
    <w:rsid w:val="008B6B82"/>
    <w:rsid w:val="008C63B6"/>
    <w:rsid w:val="008C71B4"/>
    <w:rsid w:val="008D06AA"/>
    <w:rsid w:val="008D15B5"/>
    <w:rsid w:val="008D2860"/>
    <w:rsid w:val="008D3B0E"/>
    <w:rsid w:val="008D79DC"/>
    <w:rsid w:val="008D7ED6"/>
    <w:rsid w:val="008E392D"/>
    <w:rsid w:val="008E3C34"/>
    <w:rsid w:val="008E6A0A"/>
    <w:rsid w:val="008E6B8C"/>
    <w:rsid w:val="008E76AE"/>
    <w:rsid w:val="008F0B1E"/>
    <w:rsid w:val="008F304D"/>
    <w:rsid w:val="008F39E9"/>
    <w:rsid w:val="008F40AF"/>
    <w:rsid w:val="008F5B9B"/>
    <w:rsid w:val="008F79E3"/>
    <w:rsid w:val="00900278"/>
    <w:rsid w:val="00901FE8"/>
    <w:rsid w:val="00902FDE"/>
    <w:rsid w:val="0090442C"/>
    <w:rsid w:val="0090471E"/>
    <w:rsid w:val="00906F92"/>
    <w:rsid w:val="0091111F"/>
    <w:rsid w:val="009159A6"/>
    <w:rsid w:val="00915B46"/>
    <w:rsid w:val="009178FB"/>
    <w:rsid w:val="009179A3"/>
    <w:rsid w:val="00917A97"/>
    <w:rsid w:val="00923EFB"/>
    <w:rsid w:val="00925085"/>
    <w:rsid w:val="009272DF"/>
    <w:rsid w:val="00930505"/>
    <w:rsid w:val="00934963"/>
    <w:rsid w:val="00935626"/>
    <w:rsid w:val="00935A91"/>
    <w:rsid w:val="009362FE"/>
    <w:rsid w:val="0093713C"/>
    <w:rsid w:val="009508A3"/>
    <w:rsid w:val="00951542"/>
    <w:rsid w:val="0095221B"/>
    <w:rsid w:val="0095245F"/>
    <w:rsid w:val="00952826"/>
    <w:rsid w:val="00953BCF"/>
    <w:rsid w:val="00953EFD"/>
    <w:rsid w:val="00954482"/>
    <w:rsid w:val="00957066"/>
    <w:rsid w:val="0095739E"/>
    <w:rsid w:val="0095789E"/>
    <w:rsid w:val="0096034F"/>
    <w:rsid w:val="00960E83"/>
    <w:rsid w:val="00960F30"/>
    <w:rsid w:val="00962312"/>
    <w:rsid w:val="00964466"/>
    <w:rsid w:val="009647B2"/>
    <w:rsid w:val="00970585"/>
    <w:rsid w:val="00970953"/>
    <w:rsid w:val="00971F3C"/>
    <w:rsid w:val="0097338E"/>
    <w:rsid w:val="00974513"/>
    <w:rsid w:val="0097460E"/>
    <w:rsid w:val="00974B5A"/>
    <w:rsid w:val="00975CB1"/>
    <w:rsid w:val="009807EC"/>
    <w:rsid w:val="00980FF0"/>
    <w:rsid w:val="00982814"/>
    <w:rsid w:val="00984E91"/>
    <w:rsid w:val="0099184A"/>
    <w:rsid w:val="00991AE8"/>
    <w:rsid w:val="00992B88"/>
    <w:rsid w:val="009930AD"/>
    <w:rsid w:val="00994261"/>
    <w:rsid w:val="009948A2"/>
    <w:rsid w:val="00995A69"/>
    <w:rsid w:val="00996457"/>
    <w:rsid w:val="009A016F"/>
    <w:rsid w:val="009A2958"/>
    <w:rsid w:val="009A3891"/>
    <w:rsid w:val="009A44CF"/>
    <w:rsid w:val="009A729F"/>
    <w:rsid w:val="009A7A90"/>
    <w:rsid w:val="009B0A34"/>
    <w:rsid w:val="009B11EC"/>
    <w:rsid w:val="009B3017"/>
    <w:rsid w:val="009C0864"/>
    <w:rsid w:val="009C187C"/>
    <w:rsid w:val="009C393B"/>
    <w:rsid w:val="009C4DD2"/>
    <w:rsid w:val="009C699A"/>
    <w:rsid w:val="009D0ACD"/>
    <w:rsid w:val="009D1DFA"/>
    <w:rsid w:val="009D2085"/>
    <w:rsid w:val="009D20F0"/>
    <w:rsid w:val="009D2116"/>
    <w:rsid w:val="009D2EA6"/>
    <w:rsid w:val="009D4D0A"/>
    <w:rsid w:val="009E1E28"/>
    <w:rsid w:val="009E2E78"/>
    <w:rsid w:val="009E32A3"/>
    <w:rsid w:val="009E356E"/>
    <w:rsid w:val="009E3770"/>
    <w:rsid w:val="009E61AD"/>
    <w:rsid w:val="009E686F"/>
    <w:rsid w:val="009E7A3F"/>
    <w:rsid w:val="009F078B"/>
    <w:rsid w:val="009F2F6C"/>
    <w:rsid w:val="009F35C6"/>
    <w:rsid w:val="009F5CEF"/>
    <w:rsid w:val="009F79F1"/>
    <w:rsid w:val="00A0240B"/>
    <w:rsid w:val="00A02D06"/>
    <w:rsid w:val="00A107F1"/>
    <w:rsid w:val="00A1347C"/>
    <w:rsid w:val="00A1390A"/>
    <w:rsid w:val="00A13D99"/>
    <w:rsid w:val="00A20520"/>
    <w:rsid w:val="00A21976"/>
    <w:rsid w:val="00A22978"/>
    <w:rsid w:val="00A23040"/>
    <w:rsid w:val="00A250FF"/>
    <w:rsid w:val="00A26281"/>
    <w:rsid w:val="00A26826"/>
    <w:rsid w:val="00A27350"/>
    <w:rsid w:val="00A2780B"/>
    <w:rsid w:val="00A31B5D"/>
    <w:rsid w:val="00A34CD6"/>
    <w:rsid w:val="00A35081"/>
    <w:rsid w:val="00A36AC9"/>
    <w:rsid w:val="00A41F19"/>
    <w:rsid w:val="00A43DF8"/>
    <w:rsid w:val="00A4438E"/>
    <w:rsid w:val="00A5034B"/>
    <w:rsid w:val="00A50D8E"/>
    <w:rsid w:val="00A51082"/>
    <w:rsid w:val="00A52EE6"/>
    <w:rsid w:val="00A53F24"/>
    <w:rsid w:val="00A54214"/>
    <w:rsid w:val="00A56B8B"/>
    <w:rsid w:val="00A57CD6"/>
    <w:rsid w:val="00A60033"/>
    <w:rsid w:val="00A622D6"/>
    <w:rsid w:val="00A64141"/>
    <w:rsid w:val="00A701BD"/>
    <w:rsid w:val="00A7080B"/>
    <w:rsid w:val="00A708A4"/>
    <w:rsid w:val="00A72C61"/>
    <w:rsid w:val="00A734D9"/>
    <w:rsid w:val="00A73875"/>
    <w:rsid w:val="00A73F32"/>
    <w:rsid w:val="00A74275"/>
    <w:rsid w:val="00A76967"/>
    <w:rsid w:val="00A77A2A"/>
    <w:rsid w:val="00A80759"/>
    <w:rsid w:val="00A80F4C"/>
    <w:rsid w:val="00A83382"/>
    <w:rsid w:val="00A83C45"/>
    <w:rsid w:val="00A84C67"/>
    <w:rsid w:val="00A91D1A"/>
    <w:rsid w:val="00A92156"/>
    <w:rsid w:val="00A949D3"/>
    <w:rsid w:val="00A94FBB"/>
    <w:rsid w:val="00A9794C"/>
    <w:rsid w:val="00AA1661"/>
    <w:rsid w:val="00AA2171"/>
    <w:rsid w:val="00AA3AA5"/>
    <w:rsid w:val="00AA4AF6"/>
    <w:rsid w:val="00AA5D9B"/>
    <w:rsid w:val="00AA7982"/>
    <w:rsid w:val="00AA7BE8"/>
    <w:rsid w:val="00AA7DC9"/>
    <w:rsid w:val="00AB0B71"/>
    <w:rsid w:val="00AB4D9E"/>
    <w:rsid w:val="00AB69D9"/>
    <w:rsid w:val="00AB7457"/>
    <w:rsid w:val="00AC0DE4"/>
    <w:rsid w:val="00AC14DC"/>
    <w:rsid w:val="00AC4209"/>
    <w:rsid w:val="00AC579E"/>
    <w:rsid w:val="00AC6DD8"/>
    <w:rsid w:val="00AD0D9A"/>
    <w:rsid w:val="00AD16AE"/>
    <w:rsid w:val="00AD56D7"/>
    <w:rsid w:val="00AD57D8"/>
    <w:rsid w:val="00AD618F"/>
    <w:rsid w:val="00AD7B52"/>
    <w:rsid w:val="00AE1D5A"/>
    <w:rsid w:val="00AE61AF"/>
    <w:rsid w:val="00AE65C4"/>
    <w:rsid w:val="00AF0C98"/>
    <w:rsid w:val="00AF2BCD"/>
    <w:rsid w:val="00AF5719"/>
    <w:rsid w:val="00AF5CE4"/>
    <w:rsid w:val="00AF5F45"/>
    <w:rsid w:val="00AF6136"/>
    <w:rsid w:val="00AF7228"/>
    <w:rsid w:val="00AF7978"/>
    <w:rsid w:val="00AF7B19"/>
    <w:rsid w:val="00B029E6"/>
    <w:rsid w:val="00B0362B"/>
    <w:rsid w:val="00B040E2"/>
    <w:rsid w:val="00B04290"/>
    <w:rsid w:val="00B05EA1"/>
    <w:rsid w:val="00B06421"/>
    <w:rsid w:val="00B066BB"/>
    <w:rsid w:val="00B100B7"/>
    <w:rsid w:val="00B110B0"/>
    <w:rsid w:val="00B11A84"/>
    <w:rsid w:val="00B11C3F"/>
    <w:rsid w:val="00B12867"/>
    <w:rsid w:val="00B135FE"/>
    <w:rsid w:val="00B220B4"/>
    <w:rsid w:val="00B22795"/>
    <w:rsid w:val="00B237BA"/>
    <w:rsid w:val="00B24580"/>
    <w:rsid w:val="00B25C68"/>
    <w:rsid w:val="00B27083"/>
    <w:rsid w:val="00B2731C"/>
    <w:rsid w:val="00B331A7"/>
    <w:rsid w:val="00B374F9"/>
    <w:rsid w:val="00B375D4"/>
    <w:rsid w:val="00B37665"/>
    <w:rsid w:val="00B42C2C"/>
    <w:rsid w:val="00B461A7"/>
    <w:rsid w:val="00B470F8"/>
    <w:rsid w:val="00B508DC"/>
    <w:rsid w:val="00B51656"/>
    <w:rsid w:val="00B51E46"/>
    <w:rsid w:val="00B53243"/>
    <w:rsid w:val="00B537A6"/>
    <w:rsid w:val="00B5589F"/>
    <w:rsid w:val="00B560B2"/>
    <w:rsid w:val="00B57DCF"/>
    <w:rsid w:val="00B60294"/>
    <w:rsid w:val="00B60603"/>
    <w:rsid w:val="00B6135A"/>
    <w:rsid w:val="00B61DB3"/>
    <w:rsid w:val="00B6362A"/>
    <w:rsid w:val="00B636FD"/>
    <w:rsid w:val="00B6439E"/>
    <w:rsid w:val="00B644BE"/>
    <w:rsid w:val="00B647B4"/>
    <w:rsid w:val="00B64DD8"/>
    <w:rsid w:val="00B66DCA"/>
    <w:rsid w:val="00B67ECF"/>
    <w:rsid w:val="00B72B32"/>
    <w:rsid w:val="00B737C1"/>
    <w:rsid w:val="00B73ADD"/>
    <w:rsid w:val="00B7472A"/>
    <w:rsid w:val="00B7696F"/>
    <w:rsid w:val="00B8173C"/>
    <w:rsid w:val="00B81F99"/>
    <w:rsid w:val="00B82078"/>
    <w:rsid w:val="00B84757"/>
    <w:rsid w:val="00B847BB"/>
    <w:rsid w:val="00B861EF"/>
    <w:rsid w:val="00B87B62"/>
    <w:rsid w:val="00B9092F"/>
    <w:rsid w:val="00B91683"/>
    <w:rsid w:val="00B93152"/>
    <w:rsid w:val="00B93B1B"/>
    <w:rsid w:val="00B96B08"/>
    <w:rsid w:val="00B96B15"/>
    <w:rsid w:val="00B96C97"/>
    <w:rsid w:val="00B97A84"/>
    <w:rsid w:val="00BA2227"/>
    <w:rsid w:val="00BA3D1D"/>
    <w:rsid w:val="00BA3ECF"/>
    <w:rsid w:val="00BA470B"/>
    <w:rsid w:val="00BA5C0D"/>
    <w:rsid w:val="00BB1B96"/>
    <w:rsid w:val="00BB2553"/>
    <w:rsid w:val="00BB2DDF"/>
    <w:rsid w:val="00BB7C66"/>
    <w:rsid w:val="00BC186C"/>
    <w:rsid w:val="00BC1AF5"/>
    <w:rsid w:val="00BC2458"/>
    <w:rsid w:val="00BC49E7"/>
    <w:rsid w:val="00BC5483"/>
    <w:rsid w:val="00BC77C1"/>
    <w:rsid w:val="00BD04AB"/>
    <w:rsid w:val="00BD0CCB"/>
    <w:rsid w:val="00BD2164"/>
    <w:rsid w:val="00BD27E4"/>
    <w:rsid w:val="00BD4187"/>
    <w:rsid w:val="00BD4644"/>
    <w:rsid w:val="00BD5FC0"/>
    <w:rsid w:val="00BD70DC"/>
    <w:rsid w:val="00BD781C"/>
    <w:rsid w:val="00BD7F4B"/>
    <w:rsid w:val="00BE0F5A"/>
    <w:rsid w:val="00BE11AE"/>
    <w:rsid w:val="00BE15FB"/>
    <w:rsid w:val="00BE1F7D"/>
    <w:rsid w:val="00BE2180"/>
    <w:rsid w:val="00BE5482"/>
    <w:rsid w:val="00BF05FF"/>
    <w:rsid w:val="00BF4F2B"/>
    <w:rsid w:val="00BF4FEC"/>
    <w:rsid w:val="00BF5CE4"/>
    <w:rsid w:val="00C0122A"/>
    <w:rsid w:val="00C02092"/>
    <w:rsid w:val="00C04329"/>
    <w:rsid w:val="00C07152"/>
    <w:rsid w:val="00C079AE"/>
    <w:rsid w:val="00C101EA"/>
    <w:rsid w:val="00C113ED"/>
    <w:rsid w:val="00C11B4B"/>
    <w:rsid w:val="00C11D69"/>
    <w:rsid w:val="00C1337D"/>
    <w:rsid w:val="00C140E0"/>
    <w:rsid w:val="00C14AA8"/>
    <w:rsid w:val="00C14BAE"/>
    <w:rsid w:val="00C155EB"/>
    <w:rsid w:val="00C2006E"/>
    <w:rsid w:val="00C20E08"/>
    <w:rsid w:val="00C21276"/>
    <w:rsid w:val="00C252BC"/>
    <w:rsid w:val="00C26B16"/>
    <w:rsid w:val="00C30F58"/>
    <w:rsid w:val="00C311F6"/>
    <w:rsid w:val="00C3334F"/>
    <w:rsid w:val="00C33CE9"/>
    <w:rsid w:val="00C35742"/>
    <w:rsid w:val="00C4042B"/>
    <w:rsid w:val="00C4085C"/>
    <w:rsid w:val="00C435F2"/>
    <w:rsid w:val="00C442BD"/>
    <w:rsid w:val="00C442D9"/>
    <w:rsid w:val="00C44323"/>
    <w:rsid w:val="00C44A1A"/>
    <w:rsid w:val="00C45FC5"/>
    <w:rsid w:val="00C46A87"/>
    <w:rsid w:val="00C470B5"/>
    <w:rsid w:val="00C502BD"/>
    <w:rsid w:val="00C51266"/>
    <w:rsid w:val="00C5572F"/>
    <w:rsid w:val="00C573D8"/>
    <w:rsid w:val="00C5751C"/>
    <w:rsid w:val="00C622A2"/>
    <w:rsid w:val="00C62803"/>
    <w:rsid w:val="00C62F07"/>
    <w:rsid w:val="00C63220"/>
    <w:rsid w:val="00C63799"/>
    <w:rsid w:val="00C64E8C"/>
    <w:rsid w:val="00C7023E"/>
    <w:rsid w:val="00C70DE3"/>
    <w:rsid w:val="00C7126D"/>
    <w:rsid w:val="00C72082"/>
    <w:rsid w:val="00C74803"/>
    <w:rsid w:val="00C75BFA"/>
    <w:rsid w:val="00C768DC"/>
    <w:rsid w:val="00C86898"/>
    <w:rsid w:val="00C86BEB"/>
    <w:rsid w:val="00C9017B"/>
    <w:rsid w:val="00C92B8A"/>
    <w:rsid w:val="00C92CD4"/>
    <w:rsid w:val="00C9545D"/>
    <w:rsid w:val="00C96017"/>
    <w:rsid w:val="00CA011F"/>
    <w:rsid w:val="00CA02A6"/>
    <w:rsid w:val="00CA084C"/>
    <w:rsid w:val="00CA1953"/>
    <w:rsid w:val="00CA1B3C"/>
    <w:rsid w:val="00CA2160"/>
    <w:rsid w:val="00CA396C"/>
    <w:rsid w:val="00CA5981"/>
    <w:rsid w:val="00CB0D8D"/>
    <w:rsid w:val="00CB118E"/>
    <w:rsid w:val="00CB3567"/>
    <w:rsid w:val="00CB3E2E"/>
    <w:rsid w:val="00CB776D"/>
    <w:rsid w:val="00CC1502"/>
    <w:rsid w:val="00CC2450"/>
    <w:rsid w:val="00CC41F1"/>
    <w:rsid w:val="00CC5399"/>
    <w:rsid w:val="00CC6E26"/>
    <w:rsid w:val="00CD1A47"/>
    <w:rsid w:val="00CD2628"/>
    <w:rsid w:val="00CD5561"/>
    <w:rsid w:val="00CE0D51"/>
    <w:rsid w:val="00CE0FF4"/>
    <w:rsid w:val="00CE1949"/>
    <w:rsid w:val="00CE2F79"/>
    <w:rsid w:val="00CE4346"/>
    <w:rsid w:val="00CE4FD5"/>
    <w:rsid w:val="00CE5BBC"/>
    <w:rsid w:val="00CE63AC"/>
    <w:rsid w:val="00CE7784"/>
    <w:rsid w:val="00CF01AF"/>
    <w:rsid w:val="00CF0C7B"/>
    <w:rsid w:val="00CF1328"/>
    <w:rsid w:val="00CF1559"/>
    <w:rsid w:val="00CF26F9"/>
    <w:rsid w:val="00CF34D4"/>
    <w:rsid w:val="00CF35CC"/>
    <w:rsid w:val="00CF3CDB"/>
    <w:rsid w:val="00CF3D9A"/>
    <w:rsid w:val="00CF51EC"/>
    <w:rsid w:val="00CF592A"/>
    <w:rsid w:val="00CF6087"/>
    <w:rsid w:val="00CF7438"/>
    <w:rsid w:val="00D00B0A"/>
    <w:rsid w:val="00D00B48"/>
    <w:rsid w:val="00D00B96"/>
    <w:rsid w:val="00D03ECE"/>
    <w:rsid w:val="00D0477C"/>
    <w:rsid w:val="00D10018"/>
    <w:rsid w:val="00D104D0"/>
    <w:rsid w:val="00D107FA"/>
    <w:rsid w:val="00D10897"/>
    <w:rsid w:val="00D1301D"/>
    <w:rsid w:val="00D15422"/>
    <w:rsid w:val="00D158A4"/>
    <w:rsid w:val="00D15DA7"/>
    <w:rsid w:val="00D2073B"/>
    <w:rsid w:val="00D216A3"/>
    <w:rsid w:val="00D224D7"/>
    <w:rsid w:val="00D226A5"/>
    <w:rsid w:val="00D2359B"/>
    <w:rsid w:val="00D24BF6"/>
    <w:rsid w:val="00D24CE8"/>
    <w:rsid w:val="00D25003"/>
    <w:rsid w:val="00D27837"/>
    <w:rsid w:val="00D319C5"/>
    <w:rsid w:val="00D327DD"/>
    <w:rsid w:val="00D32F65"/>
    <w:rsid w:val="00D33243"/>
    <w:rsid w:val="00D349F3"/>
    <w:rsid w:val="00D35649"/>
    <w:rsid w:val="00D3711D"/>
    <w:rsid w:val="00D46337"/>
    <w:rsid w:val="00D4783D"/>
    <w:rsid w:val="00D5204A"/>
    <w:rsid w:val="00D53033"/>
    <w:rsid w:val="00D5557D"/>
    <w:rsid w:val="00D56352"/>
    <w:rsid w:val="00D60BCA"/>
    <w:rsid w:val="00D62E6D"/>
    <w:rsid w:val="00D63BB2"/>
    <w:rsid w:val="00D65152"/>
    <w:rsid w:val="00D706C3"/>
    <w:rsid w:val="00D706C6"/>
    <w:rsid w:val="00D71DC7"/>
    <w:rsid w:val="00D71F48"/>
    <w:rsid w:val="00D720AB"/>
    <w:rsid w:val="00D74312"/>
    <w:rsid w:val="00D7727A"/>
    <w:rsid w:val="00D77644"/>
    <w:rsid w:val="00D77E45"/>
    <w:rsid w:val="00D80FEB"/>
    <w:rsid w:val="00D8166A"/>
    <w:rsid w:val="00D83AD2"/>
    <w:rsid w:val="00D83E62"/>
    <w:rsid w:val="00D84C2D"/>
    <w:rsid w:val="00D85C1E"/>
    <w:rsid w:val="00D86296"/>
    <w:rsid w:val="00D8726B"/>
    <w:rsid w:val="00D909C4"/>
    <w:rsid w:val="00D92426"/>
    <w:rsid w:val="00D92C56"/>
    <w:rsid w:val="00D96179"/>
    <w:rsid w:val="00D961CC"/>
    <w:rsid w:val="00D964EC"/>
    <w:rsid w:val="00D96CBE"/>
    <w:rsid w:val="00DA15D5"/>
    <w:rsid w:val="00DA375D"/>
    <w:rsid w:val="00DA4216"/>
    <w:rsid w:val="00DA47FC"/>
    <w:rsid w:val="00DA595B"/>
    <w:rsid w:val="00DB158E"/>
    <w:rsid w:val="00DB2875"/>
    <w:rsid w:val="00DB380E"/>
    <w:rsid w:val="00DB3AF0"/>
    <w:rsid w:val="00DB4571"/>
    <w:rsid w:val="00DC0854"/>
    <w:rsid w:val="00DC3931"/>
    <w:rsid w:val="00DC3D9C"/>
    <w:rsid w:val="00DC419F"/>
    <w:rsid w:val="00DC4732"/>
    <w:rsid w:val="00DC4D4B"/>
    <w:rsid w:val="00DC5610"/>
    <w:rsid w:val="00DC66DA"/>
    <w:rsid w:val="00DD22BA"/>
    <w:rsid w:val="00DD2B67"/>
    <w:rsid w:val="00DD3544"/>
    <w:rsid w:val="00DD3C28"/>
    <w:rsid w:val="00DD469D"/>
    <w:rsid w:val="00DD476D"/>
    <w:rsid w:val="00DD4860"/>
    <w:rsid w:val="00DD5FB9"/>
    <w:rsid w:val="00DD6E4E"/>
    <w:rsid w:val="00DD7A40"/>
    <w:rsid w:val="00DD7C1E"/>
    <w:rsid w:val="00DE154B"/>
    <w:rsid w:val="00DE2379"/>
    <w:rsid w:val="00DE25D5"/>
    <w:rsid w:val="00DE3B23"/>
    <w:rsid w:val="00DE4CC9"/>
    <w:rsid w:val="00DE5852"/>
    <w:rsid w:val="00DE5E71"/>
    <w:rsid w:val="00DE7A20"/>
    <w:rsid w:val="00DF0FA7"/>
    <w:rsid w:val="00DF2752"/>
    <w:rsid w:val="00DF55A1"/>
    <w:rsid w:val="00DF6ECA"/>
    <w:rsid w:val="00E0003F"/>
    <w:rsid w:val="00E022CB"/>
    <w:rsid w:val="00E02F8F"/>
    <w:rsid w:val="00E03D8B"/>
    <w:rsid w:val="00E0426D"/>
    <w:rsid w:val="00E051C1"/>
    <w:rsid w:val="00E068E7"/>
    <w:rsid w:val="00E075B3"/>
    <w:rsid w:val="00E11E78"/>
    <w:rsid w:val="00E12538"/>
    <w:rsid w:val="00E13579"/>
    <w:rsid w:val="00E14D3F"/>
    <w:rsid w:val="00E173BB"/>
    <w:rsid w:val="00E242CA"/>
    <w:rsid w:val="00E24FD8"/>
    <w:rsid w:val="00E26A96"/>
    <w:rsid w:val="00E27049"/>
    <w:rsid w:val="00E32B8E"/>
    <w:rsid w:val="00E350FC"/>
    <w:rsid w:val="00E4049C"/>
    <w:rsid w:val="00E408B8"/>
    <w:rsid w:val="00E40959"/>
    <w:rsid w:val="00E40D37"/>
    <w:rsid w:val="00E43497"/>
    <w:rsid w:val="00E450EA"/>
    <w:rsid w:val="00E47825"/>
    <w:rsid w:val="00E47DA7"/>
    <w:rsid w:val="00E51909"/>
    <w:rsid w:val="00E52BF8"/>
    <w:rsid w:val="00E54F1E"/>
    <w:rsid w:val="00E56A51"/>
    <w:rsid w:val="00E57B0A"/>
    <w:rsid w:val="00E6147C"/>
    <w:rsid w:val="00E62075"/>
    <w:rsid w:val="00E63473"/>
    <w:rsid w:val="00E63CDB"/>
    <w:rsid w:val="00E66D39"/>
    <w:rsid w:val="00E67354"/>
    <w:rsid w:val="00E67E20"/>
    <w:rsid w:val="00E71345"/>
    <w:rsid w:val="00E756DD"/>
    <w:rsid w:val="00E7737C"/>
    <w:rsid w:val="00E775A3"/>
    <w:rsid w:val="00E808DD"/>
    <w:rsid w:val="00E8125B"/>
    <w:rsid w:val="00E83437"/>
    <w:rsid w:val="00E8377A"/>
    <w:rsid w:val="00E85943"/>
    <w:rsid w:val="00E90064"/>
    <w:rsid w:val="00E91969"/>
    <w:rsid w:val="00E931B8"/>
    <w:rsid w:val="00E95F72"/>
    <w:rsid w:val="00E965D9"/>
    <w:rsid w:val="00E96D28"/>
    <w:rsid w:val="00E97FC9"/>
    <w:rsid w:val="00EA092E"/>
    <w:rsid w:val="00EA21DF"/>
    <w:rsid w:val="00EA5C72"/>
    <w:rsid w:val="00EB037D"/>
    <w:rsid w:val="00EB083C"/>
    <w:rsid w:val="00EB15F3"/>
    <w:rsid w:val="00EB4E58"/>
    <w:rsid w:val="00EB5998"/>
    <w:rsid w:val="00EB6AEE"/>
    <w:rsid w:val="00EC06D2"/>
    <w:rsid w:val="00EC1073"/>
    <w:rsid w:val="00EC22CB"/>
    <w:rsid w:val="00EC271F"/>
    <w:rsid w:val="00EC3738"/>
    <w:rsid w:val="00EC4216"/>
    <w:rsid w:val="00EC54AD"/>
    <w:rsid w:val="00EC61AA"/>
    <w:rsid w:val="00EC683D"/>
    <w:rsid w:val="00EC6BAB"/>
    <w:rsid w:val="00ED33A1"/>
    <w:rsid w:val="00ED37DA"/>
    <w:rsid w:val="00ED5835"/>
    <w:rsid w:val="00ED584B"/>
    <w:rsid w:val="00ED5987"/>
    <w:rsid w:val="00ED5C4E"/>
    <w:rsid w:val="00EE0941"/>
    <w:rsid w:val="00EE37C9"/>
    <w:rsid w:val="00EE6790"/>
    <w:rsid w:val="00EF0B32"/>
    <w:rsid w:val="00EF1B2A"/>
    <w:rsid w:val="00EF5208"/>
    <w:rsid w:val="00EF53D0"/>
    <w:rsid w:val="00EF74E2"/>
    <w:rsid w:val="00EF7ABB"/>
    <w:rsid w:val="00F01523"/>
    <w:rsid w:val="00F03146"/>
    <w:rsid w:val="00F03251"/>
    <w:rsid w:val="00F03E9E"/>
    <w:rsid w:val="00F04218"/>
    <w:rsid w:val="00F04780"/>
    <w:rsid w:val="00F077CA"/>
    <w:rsid w:val="00F10085"/>
    <w:rsid w:val="00F110AE"/>
    <w:rsid w:val="00F128B6"/>
    <w:rsid w:val="00F13140"/>
    <w:rsid w:val="00F142FC"/>
    <w:rsid w:val="00F14B18"/>
    <w:rsid w:val="00F14BDF"/>
    <w:rsid w:val="00F15DBD"/>
    <w:rsid w:val="00F1652A"/>
    <w:rsid w:val="00F16CF1"/>
    <w:rsid w:val="00F20788"/>
    <w:rsid w:val="00F2198C"/>
    <w:rsid w:val="00F2285A"/>
    <w:rsid w:val="00F2326A"/>
    <w:rsid w:val="00F2456D"/>
    <w:rsid w:val="00F24DB4"/>
    <w:rsid w:val="00F27B06"/>
    <w:rsid w:val="00F30218"/>
    <w:rsid w:val="00F31912"/>
    <w:rsid w:val="00F32547"/>
    <w:rsid w:val="00F33F1D"/>
    <w:rsid w:val="00F342E3"/>
    <w:rsid w:val="00F36BE0"/>
    <w:rsid w:val="00F42A87"/>
    <w:rsid w:val="00F438B8"/>
    <w:rsid w:val="00F43C06"/>
    <w:rsid w:val="00F44175"/>
    <w:rsid w:val="00F44B9D"/>
    <w:rsid w:val="00F44BAF"/>
    <w:rsid w:val="00F4676D"/>
    <w:rsid w:val="00F46C16"/>
    <w:rsid w:val="00F47E01"/>
    <w:rsid w:val="00F543DE"/>
    <w:rsid w:val="00F55159"/>
    <w:rsid w:val="00F55ECC"/>
    <w:rsid w:val="00F55FC6"/>
    <w:rsid w:val="00F56E96"/>
    <w:rsid w:val="00F5720A"/>
    <w:rsid w:val="00F575A1"/>
    <w:rsid w:val="00F577EA"/>
    <w:rsid w:val="00F578C9"/>
    <w:rsid w:val="00F6038C"/>
    <w:rsid w:val="00F61959"/>
    <w:rsid w:val="00F619D6"/>
    <w:rsid w:val="00F6453E"/>
    <w:rsid w:val="00F64B67"/>
    <w:rsid w:val="00F64E1A"/>
    <w:rsid w:val="00F668B1"/>
    <w:rsid w:val="00F6705F"/>
    <w:rsid w:val="00F70EE1"/>
    <w:rsid w:val="00F72633"/>
    <w:rsid w:val="00F72BCE"/>
    <w:rsid w:val="00F73EC9"/>
    <w:rsid w:val="00F743E9"/>
    <w:rsid w:val="00F75E3D"/>
    <w:rsid w:val="00F7615F"/>
    <w:rsid w:val="00F7700A"/>
    <w:rsid w:val="00F77D11"/>
    <w:rsid w:val="00F816C7"/>
    <w:rsid w:val="00F81B7D"/>
    <w:rsid w:val="00F8388F"/>
    <w:rsid w:val="00F86D83"/>
    <w:rsid w:val="00F8773A"/>
    <w:rsid w:val="00F9208F"/>
    <w:rsid w:val="00FA082C"/>
    <w:rsid w:val="00FA3A8D"/>
    <w:rsid w:val="00FA3D95"/>
    <w:rsid w:val="00FA3DE8"/>
    <w:rsid w:val="00FB36DA"/>
    <w:rsid w:val="00FB3815"/>
    <w:rsid w:val="00FB44BA"/>
    <w:rsid w:val="00FB647F"/>
    <w:rsid w:val="00FB7B5A"/>
    <w:rsid w:val="00FC17D6"/>
    <w:rsid w:val="00FC2446"/>
    <w:rsid w:val="00FC29B9"/>
    <w:rsid w:val="00FC5BDF"/>
    <w:rsid w:val="00FC5E66"/>
    <w:rsid w:val="00FC60D1"/>
    <w:rsid w:val="00FC65C5"/>
    <w:rsid w:val="00FC7A7B"/>
    <w:rsid w:val="00FD3BBA"/>
    <w:rsid w:val="00FD4604"/>
    <w:rsid w:val="00FD67FA"/>
    <w:rsid w:val="00FE032B"/>
    <w:rsid w:val="00FE3F59"/>
    <w:rsid w:val="00FE464A"/>
    <w:rsid w:val="00FE768E"/>
    <w:rsid w:val="00FE794C"/>
    <w:rsid w:val="00FE7FEA"/>
    <w:rsid w:val="00FF0B36"/>
    <w:rsid w:val="00FF0F45"/>
    <w:rsid w:val="00FF24AD"/>
    <w:rsid w:val="00FF28F0"/>
    <w:rsid w:val="00FF338E"/>
    <w:rsid w:val="00FF3C23"/>
    <w:rsid w:val="00FF42F9"/>
    <w:rsid w:val="00FF4617"/>
    <w:rsid w:val="00FF568D"/>
    <w:rsid w:val="00FF7A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2CB"/>
    <w:rPr>
      <w:rFonts w:eastAsia="SimSun"/>
      <w:sz w:val="24"/>
      <w:szCs w:val="24"/>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autoSpaceDE w:val="0"/>
      <w:autoSpaceDN w:val="0"/>
      <w:adjustRightInd w:val="0"/>
      <w:jc w:val="center"/>
    </w:pPr>
    <w:rPr>
      <w:rFonts w:ascii="CMBX10" w:eastAsia="Times New Roman" w:hAnsi="CMBX10"/>
      <w:b/>
      <w:bCs/>
      <w:sz w:val="32"/>
      <w:szCs w:val="32"/>
      <w:lang w:eastAsia="fr-FR"/>
    </w:rPr>
  </w:style>
  <w:style w:type="character" w:styleId="Lienhypertexte">
    <w:name w:val="Hyperlink"/>
    <w:rPr>
      <w:color w:val="0000FF"/>
      <w:u w:val="single"/>
    </w:rPr>
  </w:style>
  <w:style w:type="table" w:styleId="Grilledutableau">
    <w:name w:val="Table Grid"/>
    <w:basedOn w:val="TableauNormal"/>
    <w:rsid w:val="006B7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rmalWeb">
    <w:name w:val="Normal (Web)"/>
    <w:basedOn w:val="Normal"/>
    <w:pPr>
      <w:spacing w:before="100" w:beforeAutospacing="1" w:after="100" w:afterAutospacing="1"/>
    </w:pPr>
    <w:rPr>
      <w:rFonts w:ascii="Arial" w:eastAsia="Times New Roman" w:hAnsi="Arial" w:cs="Arial"/>
      <w:sz w:val="20"/>
      <w:szCs w:val="20"/>
      <w:lang w:eastAsia="fr-FR"/>
    </w:rPr>
  </w:style>
  <w:style w:type="paragraph" w:styleId="En-tte">
    <w:name w:val="header"/>
    <w:basedOn w:val="Normal"/>
    <w:pPr>
      <w:tabs>
        <w:tab w:val="center" w:pos="4536"/>
        <w:tab w:val="right" w:pos="9072"/>
      </w:tabs>
    </w:pPr>
  </w:style>
  <w:style w:type="paragraph" w:styleId="Corpsdetexte">
    <w:name w:val="Body Text"/>
    <w:basedOn w:val="Normal"/>
    <w:pPr>
      <w:spacing w:after="120"/>
    </w:pPr>
  </w:style>
  <w:style w:type="paragraph" w:customStyle="1" w:styleId="LegendeTab">
    <w:name w:val="LegendeTab"/>
    <w:basedOn w:val="Normal"/>
    <w:pPr>
      <w:jc w:val="center"/>
    </w:pPr>
    <w:rPr>
      <w:rFonts w:eastAsia="Times New Roman"/>
      <w:szCs w:val="20"/>
      <w:lang w:eastAsia="fr-FR"/>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fr-FR"/>
    </w:rPr>
  </w:style>
  <w:style w:type="paragraph" w:styleId="Retraitcorpsdetexte">
    <w:name w:val="Body Text Indent"/>
    <w:basedOn w:val="Normal"/>
    <w:rsid w:val="00594C33"/>
    <w:pPr>
      <w:spacing w:after="120"/>
      <w:ind w:left="283"/>
    </w:pPr>
  </w:style>
  <w:style w:type="character" w:styleId="lev">
    <w:name w:val="Strong"/>
    <w:qFormat/>
    <w:rsid w:val="00380D18"/>
    <w:rPr>
      <w:rFonts w:ascii="Times New Roman" w:hAnsi="Times New Roman" w:cs="Times New Roman"/>
      <w:b/>
      <w:bCs/>
    </w:rPr>
  </w:style>
  <w:style w:type="character" w:styleId="Accentuation">
    <w:name w:val="Emphasis"/>
    <w:qFormat/>
    <w:rsid w:val="00380D18"/>
    <w:rPr>
      <w:rFonts w:ascii="Times New Roman" w:hAnsi="Times New Roman" w:cs="Times New Roman"/>
      <w:i/>
      <w:iCs/>
    </w:rPr>
  </w:style>
  <w:style w:type="paragraph" w:customStyle="1" w:styleId="Default">
    <w:name w:val="Default"/>
    <w:rsid w:val="00511585"/>
    <w:pPr>
      <w:autoSpaceDE w:val="0"/>
      <w:autoSpaceDN w:val="0"/>
      <w:adjustRightInd w:val="0"/>
    </w:pPr>
    <w:rPr>
      <w:color w:val="000000"/>
      <w:sz w:val="24"/>
      <w:szCs w:val="24"/>
    </w:rPr>
  </w:style>
  <w:style w:type="paragraph" w:customStyle="1" w:styleId="normal0">
    <w:name w:val="normal"/>
    <w:basedOn w:val="Normal"/>
    <w:rsid w:val="008B075E"/>
    <w:pPr>
      <w:jc w:val="both"/>
    </w:pPr>
    <w:rPr>
      <w:rFonts w:ascii="Palatino" w:eastAsia="Times New Roman" w:hAnsi="Palatino"/>
      <w:lang w:eastAsia="fr-FR"/>
    </w:rPr>
  </w:style>
  <w:style w:type="character" w:customStyle="1" w:styleId="google-src-text1">
    <w:name w:val="google-src-text1"/>
    <w:rsid w:val="008B075E"/>
    <w:rPr>
      <w:vanish/>
      <w:webHidden w:val="0"/>
      <w:specVanish w:val="0"/>
    </w:rPr>
  </w:style>
  <w:style w:type="character" w:customStyle="1" w:styleId="longtext">
    <w:name w:val="long_text"/>
    <w:basedOn w:val="Policepardfaut"/>
    <w:rsid w:val="009E61AD"/>
  </w:style>
  <w:style w:type="character" w:customStyle="1" w:styleId="hps">
    <w:name w:val="hps"/>
    <w:basedOn w:val="Policepardfaut"/>
    <w:rsid w:val="009E61AD"/>
  </w:style>
  <w:style w:type="character" w:customStyle="1" w:styleId="hpsatn">
    <w:name w:val="hps atn"/>
    <w:basedOn w:val="Policepardfaut"/>
    <w:rsid w:val="009E61AD"/>
  </w:style>
  <w:style w:type="character" w:customStyle="1" w:styleId="atn">
    <w:name w:val="atn"/>
    <w:basedOn w:val="Policepardfaut"/>
    <w:rsid w:val="009E61AD"/>
  </w:style>
  <w:style w:type="character" w:customStyle="1" w:styleId="gen1">
    <w:name w:val="gen1"/>
    <w:rsid w:val="004D0FC4"/>
    <w:rPr>
      <w:b/>
      <w:bCs/>
      <w:color w:val="555555"/>
    </w:rPr>
  </w:style>
  <w:style w:type="paragraph" w:customStyle="1" w:styleId="title">
    <w:name w:val="title"/>
    <w:basedOn w:val="Normal"/>
    <w:rsid w:val="0013509A"/>
    <w:pPr>
      <w:spacing w:before="100" w:beforeAutospacing="1" w:after="100" w:afterAutospacing="1"/>
    </w:pPr>
    <w:rPr>
      <w:rFonts w:ascii="Arial" w:eastAsia="Times New Roman" w:hAnsi="Arial" w:cs="Arial"/>
      <w:color w:val="3D5C3D"/>
      <w:lang w:eastAsia="fr-FR"/>
    </w:rPr>
  </w:style>
  <w:style w:type="paragraph" w:customStyle="1" w:styleId="StyleJustifiAvant6ptAprs6pt">
    <w:name w:val="Style Justifié Avant : 6 pt Après : 6 pt"/>
    <w:basedOn w:val="Normal"/>
    <w:rsid w:val="004461C3"/>
    <w:pPr>
      <w:jc w:val="both"/>
    </w:pPr>
    <w:rPr>
      <w:rFonts w:eastAsia="Times New Roman"/>
    </w:rPr>
  </w:style>
  <w:style w:type="character" w:customStyle="1" w:styleId="shorttext">
    <w:name w:val="short_text"/>
    <w:basedOn w:val="Policepardfaut"/>
    <w:rsid w:val="00114978"/>
  </w:style>
  <w:style w:type="character" w:customStyle="1" w:styleId="ui">
    <w:name w:val="ui"/>
    <w:rsid w:val="00430AE9"/>
    <w:rPr>
      <w:color w:val="800080"/>
      <w:u w:val="single"/>
    </w:rPr>
  </w:style>
  <w:style w:type="character" w:customStyle="1" w:styleId="sac">
    <w:name w:val="sac"/>
    <w:rsid w:val="00E97FC9"/>
    <w:rPr>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2CB"/>
    <w:rPr>
      <w:rFonts w:eastAsia="SimSun"/>
      <w:sz w:val="24"/>
      <w:szCs w:val="24"/>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autoSpaceDE w:val="0"/>
      <w:autoSpaceDN w:val="0"/>
      <w:adjustRightInd w:val="0"/>
      <w:jc w:val="center"/>
    </w:pPr>
    <w:rPr>
      <w:rFonts w:ascii="CMBX10" w:eastAsia="Times New Roman" w:hAnsi="CMBX10"/>
      <w:b/>
      <w:bCs/>
      <w:sz w:val="32"/>
      <w:szCs w:val="32"/>
      <w:lang w:eastAsia="fr-FR"/>
    </w:rPr>
  </w:style>
  <w:style w:type="character" w:styleId="Lienhypertexte">
    <w:name w:val="Hyperlink"/>
    <w:rPr>
      <w:color w:val="0000FF"/>
      <w:u w:val="single"/>
    </w:rPr>
  </w:style>
  <w:style w:type="table" w:styleId="Grilledutableau">
    <w:name w:val="Table Grid"/>
    <w:basedOn w:val="TableauNormal"/>
    <w:rsid w:val="006B7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rmalWeb">
    <w:name w:val="Normal (Web)"/>
    <w:basedOn w:val="Normal"/>
    <w:pPr>
      <w:spacing w:before="100" w:beforeAutospacing="1" w:after="100" w:afterAutospacing="1"/>
    </w:pPr>
    <w:rPr>
      <w:rFonts w:ascii="Arial" w:eastAsia="Times New Roman" w:hAnsi="Arial" w:cs="Arial"/>
      <w:sz w:val="20"/>
      <w:szCs w:val="20"/>
      <w:lang w:eastAsia="fr-FR"/>
    </w:rPr>
  </w:style>
  <w:style w:type="paragraph" w:styleId="En-tte">
    <w:name w:val="header"/>
    <w:basedOn w:val="Normal"/>
    <w:pPr>
      <w:tabs>
        <w:tab w:val="center" w:pos="4536"/>
        <w:tab w:val="right" w:pos="9072"/>
      </w:tabs>
    </w:pPr>
  </w:style>
  <w:style w:type="paragraph" w:styleId="Corpsdetexte">
    <w:name w:val="Body Text"/>
    <w:basedOn w:val="Normal"/>
    <w:pPr>
      <w:spacing w:after="120"/>
    </w:pPr>
  </w:style>
  <w:style w:type="paragraph" w:customStyle="1" w:styleId="LegendeTab">
    <w:name w:val="LegendeTab"/>
    <w:basedOn w:val="Normal"/>
    <w:pPr>
      <w:jc w:val="center"/>
    </w:pPr>
    <w:rPr>
      <w:rFonts w:eastAsia="Times New Roman"/>
      <w:szCs w:val="20"/>
      <w:lang w:eastAsia="fr-FR"/>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fr-FR"/>
    </w:rPr>
  </w:style>
  <w:style w:type="paragraph" w:styleId="Retraitcorpsdetexte">
    <w:name w:val="Body Text Indent"/>
    <w:basedOn w:val="Normal"/>
    <w:rsid w:val="00594C33"/>
    <w:pPr>
      <w:spacing w:after="120"/>
      <w:ind w:left="283"/>
    </w:pPr>
  </w:style>
  <w:style w:type="character" w:styleId="lev">
    <w:name w:val="Strong"/>
    <w:qFormat/>
    <w:rsid w:val="00380D18"/>
    <w:rPr>
      <w:rFonts w:ascii="Times New Roman" w:hAnsi="Times New Roman" w:cs="Times New Roman"/>
      <w:b/>
      <w:bCs/>
    </w:rPr>
  </w:style>
  <w:style w:type="character" w:styleId="Accentuation">
    <w:name w:val="Emphasis"/>
    <w:qFormat/>
    <w:rsid w:val="00380D18"/>
    <w:rPr>
      <w:rFonts w:ascii="Times New Roman" w:hAnsi="Times New Roman" w:cs="Times New Roman"/>
      <w:i/>
      <w:iCs/>
    </w:rPr>
  </w:style>
  <w:style w:type="paragraph" w:customStyle="1" w:styleId="Default">
    <w:name w:val="Default"/>
    <w:rsid w:val="00511585"/>
    <w:pPr>
      <w:autoSpaceDE w:val="0"/>
      <w:autoSpaceDN w:val="0"/>
      <w:adjustRightInd w:val="0"/>
    </w:pPr>
    <w:rPr>
      <w:color w:val="000000"/>
      <w:sz w:val="24"/>
      <w:szCs w:val="24"/>
    </w:rPr>
  </w:style>
  <w:style w:type="paragraph" w:customStyle="1" w:styleId="normal0">
    <w:name w:val="normal"/>
    <w:basedOn w:val="Normal"/>
    <w:rsid w:val="008B075E"/>
    <w:pPr>
      <w:jc w:val="both"/>
    </w:pPr>
    <w:rPr>
      <w:rFonts w:ascii="Palatino" w:eastAsia="Times New Roman" w:hAnsi="Palatino"/>
      <w:lang w:eastAsia="fr-FR"/>
    </w:rPr>
  </w:style>
  <w:style w:type="character" w:customStyle="1" w:styleId="google-src-text1">
    <w:name w:val="google-src-text1"/>
    <w:rsid w:val="008B075E"/>
    <w:rPr>
      <w:vanish/>
      <w:webHidden w:val="0"/>
      <w:specVanish w:val="0"/>
    </w:rPr>
  </w:style>
  <w:style w:type="character" w:customStyle="1" w:styleId="longtext">
    <w:name w:val="long_text"/>
    <w:basedOn w:val="Policepardfaut"/>
    <w:rsid w:val="009E61AD"/>
  </w:style>
  <w:style w:type="character" w:customStyle="1" w:styleId="hps">
    <w:name w:val="hps"/>
    <w:basedOn w:val="Policepardfaut"/>
    <w:rsid w:val="009E61AD"/>
  </w:style>
  <w:style w:type="character" w:customStyle="1" w:styleId="hpsatn">
    <w:name w:val="hps atn"/>
    <w:basedOn w:val="Policepardfaut"/>
    <w:rsid w:val="009E61AD"/>
  </w:style>
  <w:style w:type="character" w:customStyle="1" w:styleId="atn">
    <w:name w:val="atn"/>
    <w:basedOn w:val="Policepardfaut"/>
    <w:rsid w:val="009E61AD"/>
  </w:style>
  <w:style w:type="character" w:customStyle="1" w:styleId="gen1">
    <w:name w:val="gen1"/>
    <w:rsid w:val="004D0FC4"/>
    <w:rPr>
      <w:b/>
      <w:bCs/>
      <w:color w:val="555555"/>
    </w:rPr>
  </w:style>
  <w:style w:type="paragraph" w:customStyle="1" w:styleId="title">
    <w:name w:val="title"/>
    <w:basedOn w:val="Normal"/>
    <w:rsid w:val="0013509A"/>
    <w:pPr>
      <w:spacing w:before="100" w:beforeAutospacing="1" w:after="100" w:afterAutospacing="1"/>
    </w:pPr>
    <w:rPr>
      <w:rFonts w:ascii="Arial" w:eastAsia="Times New Roman" w:hAnsi="Arial" w:cs="Arial"/>
      <w:color w:val="3D5C3D"/>
      <w:lang w:eastAsia="fr-FR"/>
    </w:rPr>
  </w:style>
  <w:style w:type="paragraph" w:customStyle="1" w:styleId="StyleJustifiAvant6ptAprs6pt">
    <w:name w:val="Style Justifié Avant : 6 pt Après : 6 pt"/>
    <w:basedOn w:val="Normal"/>
    <w:rsid w:val="004461C3"/>
    <w:pPr>
      <w:jc w:val="both"/>
    </w:pPr>
    <w:rPr>
      <w:rFonts w:eastAsia="Times New Roman"/>
    </w:rPr>
  </w:style>
  <w:style w:type="character" w:customStyle="1" w:styleId="shorttext">
    <w:name w:val="short_text"/>
    <w:basedOn w:val="Policepardfaut"/>
    <w:rsid w:val="00114978"/>
  </w:style>
  <w:style w:type="character" w:customStyle="1" w:styleId="ui">
    <w:name w:val="ui"/>
    <w:rsid w:val="00430AE9"/>
    <w:rPr>
      <w:color w:val="800080"/>
      <w:u w:val="single"/>
    </w:rPr>
  </w:style>
  <w:style w:type="character" w:customStyle="1" w:styleId="sac">
    <w:name w:val="sac"/>
    <w:rsid w:val="00E97FC9"/>
    <w:rPr>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3611">
      <w:bodyDiv w:val="1"/>
      <w:marLeft w:val="0"/>
      <w:marRight w:val="0"/>
      <w:marTop w:val="0"/>
      <w:marBottom w:val="0"/>
      <w:divBdr>
        <w:top w:val="none" w:sz="0" w:space="0" w:color="auto"/>
        <w:left w:val="none" w:sz="0" w:space="0" w:color="auto"/>
        <w:bottom w:val="none" w:sz="0" w:space="0" w:color="auto"/>
        <w:right w:val="none" w:sz="0" w:space="0" w:color="auto"/>
      </w:divBdr>
      <w:divsChild>
        <w:div w:id="1152790101">
          <w:marLeft w:val="0"/>
          <w:marRight w:val="0"/>
          <w:marTop w:val="0"/>
          <w:marBottom w:val="0"/>
          <w:divBdr>
            <w:top w:val="none" w:sz="0" w:space="0" w:color="auto"/>
            <w:left w:val="none" w:sz="0" w:space="0" w:color="auto"/>
            <w:bottom w:val="none" w:sz="0" w:space="0" w:color="auto"/>
            <w:right w:val="none" w:sz="0" w:space="0" w:color="auto"/>
          </w:divBdr>
        </w:div>
      </w:divsChild>
    </w:div>
    <w:div w:id="248857633">
      <w:bodyDiv w:val="1"/>
      <w:marLeft w:val="0"/>
      <w:marRight w:val="0"/>
      <w:marTop w:val="0"/>
      <w:marBottom w:val="0"/>
      <w:divBdr>
        <w:top w:val="none" w:sz="0" w:space="0" w:color="auto"/>
        <w:left w:val="none" w:sz="0" w:space="0" w:color="auto"/>
        <w:bottom w:val="none" w:sz="0" w:space="0" w:color="auto"/>
        <w:right w:val="none" w:sz="0" w:space="0" w:color="auto"/>
      </w:divBdr>
      <w:divsChild>
        <w:div w:id="456484061">
          <w:marLeft w:val="0"/>
          <w:marRight w:val="0"/>
          <w:marTop w:val="0"/>
          <w:marBottom w:val="0"/>
          <w:divBdr>
            <w:top w:val="none" w:sz="0" w:space="0" w:color="auto"/>
            <w:left w:val="none" w:sz="0" w:space="0" w:color="auto"/>
            <w:bottom w:val="none" w:sz="0" w:space="0" w:color="auto"/>
            <w:right w:val="none" w:sz="0" w:space="0" w:color="auto"/>
          </w:divBdr>
          <w:divsChild>
            <w:div w:id="773860389">
              <w:marLeft w:val="0"/>
              <w:marRight w:val="0"/>
              <w:marTop w:val="0"/>
              <w:marBottom w:val="0"/>
              <w:divBdr>
                <w:top w:val="none" w:sz="0" w:space="0" w:color="auto"/>
                <w:left w:val="none" w:sz="0" w:space="0" w:color="auto"/>
                <w:bottom w:val="none" w:sz="0" w:space="0" w:color="auto"/>
                <w:right w:val="none" w:sz="0" w:space="0" w:color="auto"/>
              </w:divBdr>
              <w:divsChild>
                <w:div w:id="414015085">
                  <w:marLeft w:val="0"/>
                  <w:marRight w:val="0"/>
                  <w:marTop w:val="0"/>
                  <w:marBottom w:val="0"/>
                  <w:divBdr>
                    <w:top w:val="none" w:sz="0" w:space="0" w:color="auto"/>
                    <w:left w:val="none" w:sz="0" w:space="0" w:color="auto"/>
                    <w:bottom w:val="none" w:sz="0" w:space="0" w:color="auto"/>
                    <w:right w:val="none" w:sz="0" w:space="0" w:color="auto"/>
                  </w:divBdr>
                  <w:divsChild>
                    <w:div w:id="390156674">
                      <w:marLeft w:val="0"/>
                      <w:marRight w:val="0"/>
                      <w:marTop w:val="0"/>
                      <w:marBottom w:val="0"/>
                      <w:divBdr>
                        <w:top w:val="none" w:sz="0" w:space="0" w:color="auto"/>
                        <w:left w:val="none" w:sz="0" w:space="0" w:color="auto"/>
                        <w:bottom w:val="none" w:sz="0" w:space="0" w:color="auto"/>
                        <w:right w:val="none" w:sz="0" w:space="0" w:color="auto"/>
                      </w:divBdr>
                      <w:divsChild>
                        <w:div w:id="1670862978">
                          <w:marLeft w:val="0"/>
                          <w:marRight w:val="0"/>
                          <w:marTop w:val="0"/>
                          <w:marBottom w:val="0"/>
                          <w:divBdr>
                            <w:top w:val="none" w:sz="0" w:space="0" w:color="auto"/>
                            <w:left w:val="none" w:sz="0" w:space="0" w:color="auto"/>
                            <w:bottom w:val="none" w:sz="0" w:space="0" w:color="auto"/>
                            <w:right w:val="none" w:sz="0" w:space="0" w:color="auto"/>
                          </w:divBdr>
                          <w:divsChild>
                            <w:div w:id="1087073227">
                              <w:marLeft w:val="0"/>
                              <w:marRight w:val="0"/>
                              <w:marTop w:val="0"/>
                              <w:marBottom w:val="0"/>
                              <w:divBdr>
                                <w:top w:val="none" w:sz="0" w:space="0" w:color="auto"/>
                                <w:left w:val="none" w:sz="0" w:space="0" w:color="auto"/>
                                <w:bottom w:val="none" w:sz="0" w:space="0" w:color="auto"/>
                                <w:right w:val="none" w:sz="0" w:space="0" w:color="auto"/>
                              </w:divBdr>
                              <w:divsChild>
                                <w:div w:id="6204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056503">
      <w:bodyDiv w:val="1"/>
      <w:marLeft w:val="0"/>
      <w:marRight w:val="0"/>
      <w:marTop w:val="0"/>
      <w:marBottom w:val="0"/>
      <w:divBdr>
        <w:top w:val="none" w:sz="0" w:space="0" w:color="auto"/>
        <w:left w:val="none" w:sz="0" w:space="0" w:color="auto"/>
        <w:bottom w:val="none" w:sz="0" w:space="0" w:color="auto"/>
        <w:right w:val="none" w:sz="0" w:space="0" w:color="auto"/>
      </w:divBdr>
      <w:divsChild>
        <w:div w:id="1041637145">
          <w:marLeft w:val="0"/>
          <w:marRight w:val="0"/>
          <w:marTop w:val="0"/>
          <w:marBottom w:val="0"/>
          <w:divBdr>
            <w:top w:val="none" w:sz="0" w:space="0" w:color="auto"/>
            <w:left w:val="none" w:sz="0" w:space="0" w:color="auto"/>
            <w:bottom w:val="none" w:sz="0" w:space="0" w:color="auto"/>
            <w:right w:val="none" w:sz="0" w:space="0" w:color="auto"/>
          </w:divBdr>
          <w:divsChild>
            <w:div w:id="1161967314">
              <w:marLeft w:val="0"/>
              <w:marRight w:val="0"/>
              <w:marTop w:val="0"/>
              <w:marBottom w:val="0"/>
              <w:divBdr>
                <w:top w:val="none" w:sz="0" w:space="0" w:color="auto"/>
                <w:left w:val="none" w:sz="0" w:space="0" w:color="auto"/>
                <w:bottom w:val="none" w:sz="0" w:space="0" w:color="auto"/>
                <w:right w:val="none" w:sz="0" w:space="0" w:color="auto"/>
              </w:divBdr>
              <w:divsChild>
                <w:div w:id="549609911">
                  <w:marLeft w:val="2010"/>
                  <w:marRight w:val="0"/>
                  <w:marTop w:val="0"/>
                  <w:marBottom w:val="1000"/>
                  <w:divBdr>
                    <w:top w:val="none" w:sz="0" w:space="0" w:color="auto"/>
                    <w:left w:val="none" w:sz="0" w:space="0" w:color="auto"/>
                    <w:bottom w:val="none" w:sz="0" w:space="0" w:color="auto"/>
                    <w:right w:val="none" w:sz="0" w:space="0" w:color="auto"/>
                  </w:divBdr>
                  <w:divsChild>
                    <w:div w:id="534393357">
                      <w:marLeft w:val="0"/>
                      <w:marRight w:val="0"/>
                      <w:marTop w:val="0"/>
                      <w:marBottom w:val="0"/>
                      <w:divBdr>
                        <w:top w:val="none" w:sz="0" w:space="0" w:color="auto"/>
                        <w:left w:val="none" w:sz="0" w:space="0" w:color="auto"/>
                        <w:bottom w:val="none" w:sz="0" w:space="0" w:color="auto"/>
                        <w:right w:val="none" w:sz="0" w:space="0" w:color="auto"/>
                      </w:divBdr>
                      <w:divsChild>
                        <w:div w:id="883635935">
                          <w:marLeft w:val="0"/>
                          <w:marRight w:val="0"/>
                          <w:marTop w:val="0"/>
                          <w:marBottom w:val="0"/>
                          <w:divBdr>
                            <w:top w:val="none" w:sz="0" w:space="0" w:color="auto"/>
                            <w:left w:val="none" w:sz="0" w:space="0" w:color="auto"/>
                            <w:bottom w:val="none" w:sz="0" w:space="0" w:color="auto"/>
                            <w:right w:val="none" w:sz="0" w:space="0" w:color="auto"/>
                          </w:divBdr>
                          <w:divsChild>
                            <w:div w:id="3992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47011">
      <w:bodyDiv w:val="1"/>
      <w:marLeft w:val="0"/>
      <w:marRight w:val="0"/>
      <w:marTop w:val="0"/>
      <w:marBottom w:val="0"/>
      <w:divBdr>
        <w:top w:val="none" w:sz="0" w:space="0" w:color="auto"/>
        <w:left w:val="none" w:sz="0" w:space="0" w:color="auto"/>
        <w:bottom w:val="none" w:sz="0" w:space="0" w:color="auto"/>
        <w:right w:val="none" w:sz="0" w:space="0" w:color="auto"/>
      </w:divBdr>
      <w:divsChild>
        <w:div w:id="469831218">
          <w:marLeft w:val="0"/>
          <w:marRight w:val="0"/>
          <w:marTop w:val="0"/>
          <w:marBottom w:val="0"/>
          <w:divBdr>
            <w:top w:val="none" w:sz="0" w:space="0" w:color="auto"/>
            <w:left w:val="none" w:sz="0" w:space="0" w:color="auto"/>
            <w:bottom w:val="none" w:sz="0" w:space="0" w:color="auto"/>
            <w:right w:val="none" w:sz="0" w:space="0" w:color="auto"/>
          </w:divBdr>
        </w:div>
      </w:divsChild>
    </w:div>
    <w:div w:id="752626201">
      <w:bodyDiv w:val="1"/>
      <w:marLeft w:val="0"/>
      <w:marRight w:val="0"/>
      <w:marTop w:val="0"/>
      <w:marBottom w:val="0"/>
      <w:divBdr>
        <w:top w:val="none" w:sz="0" w:space="0" w:color="auto"/>
        <w:left w:val="none" w:sz="0" w:space="0" w:color="auto"/>
        <w:bottom w:val="none" w:sz="0" w:space="0" w:color="auto"/>
        <w:right w:val="none" w:sz="0" w:space="0" w:color="auto"/>
      </w:divBdr>
      <w:divsChild>
        <w:div w:id="1692729689">
          <w:marLeft w:val="0"/>
          <w:marRight w:val="0"/>
          <w:marTop w:val="0"/>
          <w:marBottom w:val="0"/>
          <w:divBdr>
            <w:top w:val="none" w:sz="0" w:space="0" w:color="auto"/>
            <w:left w:val="none" w:sz="0" w:space="0" w:color="auto"/>
            <w:bottom w:val="none" w:sz="0" w:space="0" w:color="auto"/>
            <w:right w:val="none" w:sz="0" w:space="0" w:color="auto"/>
          </w:divBdr>
        </w:div>
      </w:divsChild>
    </w:div>
    <w:div w:id="847523178">
      <w:bodyDiv w:val="1"/>
      <w:marLeft w:val="0"/>
      <w:marRight w:val="0"/>
      <w:marTop w:val="0"/>
      <w:marBottom w:val="0"/>
      <w:divBdr>
        <w:top w:val="none" w:sz="0" w:space="0" w:color="auto"/>
        <w:left w:val="none" w:sz="0" w:space="0" w:color="auto"/>
        <w:bottom w:val="none" w:sz="0" w:space="0" w:color="auto"/>
        <w:right w:val="none" w:sz="0" w:space="0" w:color="auto"/>
      </w:divBdr>
      <w:divsChild>
        <w:div w:id="1702389865">
          <w:marLeft w:val="0"/>
          <w:marRight w:val="0"/>
          <w:marTop w:val="0"/>
          <w:marBottom w:val="0"/>
          <w:divBdr>
            <w:top w:val="none" w:sz="0" w:space="0" w:color="auto"/>
            <w:left w:val="none" w:sz="0" w:space="0" w:color="auto"/>
            <w:bottom w:val="none" w:sz="0" w:space="0" w:color="auto"/>
            <w:right w:val="none" w:sz="0" w:space="0" w:color="auto"/>
          </w:divBdr>
        </w:div>
      </w:divsChild>
    </w:div>
    <w:div w:id="1046754094">
      <w:bodyDiv w:val="1"/>
      <w:marLeft w:val="0"/>
      <w:marRight w:val="0"/>
      <w:marTop w:val="0"/>
      <w:marBottom w:val="0"/>
      <w:divBdr>
        <w:top w:val="none" w:sz="0" w:space="0" w:color="auto"/>
        <w:left w:val="none" w:sz="0" w:space="0" w:color="auto"/>
        <w:bottom w:val="none" w:sz="0" w:space="0" w:color="auto"/>
        <w:right w:val="none" w:sz="0" w:space="0" w:color="auto"/>
      </w:divBdr>
      <w:divsChild>
        <w:div w:id="1020352840">
          <w:marLeft w:val="0"/>
          <w:marRight w:val="0"/>
          <w:marTop w:val="0"/>
          <w:marBottom w:val="0"/>
          <w:divBdr>
            <w:top w:val="none" w:sz="0" w:space="0" w:color="auto"/>
            <w:left w:val="none" w:sz="0" w:space="0" w:color="auto"/>
            <w:bottom w:val="none" w:sz="0" w:space="0" w:color="auto"/>
            <w:right w:val="none" w:sz="0" w:space="0" w:color="auto"/>
          </w:divBdr>
        </w:div>
      </w:divsChild>
    </w:div>
    <w:div w:id="1083332941">
      <w:bodyDiv w:val="1"/>
      <w:marLeft w:val="0"/>
      <w:marRight w:val="0"/>
      <w:marTop w:val="0"/>
      <w:marBottom w:val="0"/>
      <w:divBdr>
        <w:top w:val="none" w:sz="0" w:space="0" w:color="auto"/>
        <w:left w:val="none" w:sz="0" w:space="0" w:color="auto"/>
        <w:bottom w:val="none" w:sz="0" w:space="0" w:color="auto"/>
        <w:right w:val="none" w:sz="0" w:space="0" w:color="auto"/>
      </w:divBdr>
      <w:divsChild>
        <w:div w:id="2050452993">
          <w:marLeft w:val="0"/>
          <w:marRight w:val="0"/>
          <w:marTop w:val="0"/>
          <w:marBottom w:val="0"/>
          <w:divBdr>
            <w:top w:val="none" w:sz="0" w:space="0" w:color="auto"/>
            <w:left w:val="none" w:sz="0" w:space="0" w:color="auto"/>
            <w:bottom w:val="none" w:sz="0" w:space="0" w:color="auto"/>
            <w:right w:val="none" w:sz="0" w:space="0" w:color="auto"/>
          </w:divBdr>
          <w:divsChild>
            <w:div w:id="749159962">
              <w:marLeft w:val="0"/>
              <w:marRight w:val="0"/>
              <w:marTop w:val="0"/>
              <w:marBottom w:val="0"/>
              <w:divBdr>
                <w:top w:val="none" w:sz="0" w:space="0" w:color="auto"/>
                <w:left w:val="none" w:sz="0" w:space="0" w:color="auto"/>
                <w:bottom w:val="none" w:sz="0" w:space="0" w:color="auto"/>
                <w:right w:val="none" w:sz="0" w:space="0" w:color="auto"/>
              </w:divBdr>
              <w:divsChild>
                <w:div w:id="1673528545">
                  <w:marLeft w:val="0"/>
                  <w:marRight w:val="0"/>
                  <w:marTop w:val="0"/>
                  <w:marBottom w:val="0"/>
                  <w:divBdr>
                    <w:top w:val="none" w:sz="0" w:space="0" w:color="auto"/>
                    <w:left w:val="none" w:sz="0" w:space="0" w:color="auto"/>
                    <w:bottom w:val="none" w:sz="0" w:space="0" w:color="auto"/>
                    <w:right w:val="none" w:sz="0" w:space="0" w:color="auto"/>
                  </w:divBdr>
                  <w:divsChild>
                    <w:div w:id="842891109">
                      <w:marLeft w:val="0"/>
                      <w:marRight w:val="0"/>
                      <w:marTop w:val="0"/>
                      <w:marBottom w:val="0"/>
                      <w:divBdr>
                        <w:top w:val="none" w:sz="0" w:space="0" w:color="auto"/>
                        <w:left w:val="none" w:sz="0" w:space="0" w:color="auto"/>
                        <w:bottom w:val="none" w:sz="0" w:space="0" w:color="auto"/>
                        <w:right w:val="none" w:sz="0" w:space="0" w:color="auto"/>
                      </w:divBdr>
                      <w:divsChild>
                        <w:div w:id="1977106324">
                          <w:marLeft w:val="0"/>
                          <w:marRight w:val="0"/>
                          <w:marTop w:val="0"/>
                          <w:marBottom w:val="0"/>
                          <w:divBdr>
                            <w:top w:val="none" w:sz="0" w:space="0" w:color="auto"/>
                            <w:left w:val="none" w:sz="0" w:space="0" w:color="auto"/>
                            <w:bottom w:val="none" w:sz="0" w:space="0" w:color="auto"/>
                            <w:right w:val="none" w:sz="0" w:space="0" w:color="auto"/>
                          </w:divBdr>
                          <w:divsChild>
                            <w:div w:id="1440562704">
                              <w:marLeft w:val="0"/>
                              <w:marRight w:val="0"/>
                              <w:marTop w:val="0"/>
                              <w:marBottom w:val="0"/>
                              <w:divBdr>
                                <w:top w:val="none" w:sz="0" w:space="0" w:color="auto"/>
                                <w:left w:val="none" w:sz="0" w:space="0" w:color="auto"/>
                                <w:bottom w:val="none" w:sz="0" w:space="0" w:color="auto"/>
                                <w:right w:val="none" w:sz="0" w:space="0" w:color="auto"/>
                              </w:divBdr>
                              <w:divsChild>
                                <w:div w:id="11100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314318">
      <w:bodyDiv w:val="1"/>
      <w:marLeft w:val="0"/>
      <w:marRight w:val="0"/>
      <w:marTop w:val="0"/>
      <w:marBottom w:val="0"/>
      <w:divBdr>
        <w:top w:val="none" w:sz="0" w:space="0" w:color="auto"/>
        <w:left w:val="none" w:sz="0" w:space="0" w:color="auto"/>
        <w:bottom w:val="none" w:sz="0" w:space="0" w:color="auto"/>
        <w:right w:val="none" w:sz="0" w:space="0" w:color="auto"/>
      </w:divBdr>
      <w:divsChild>
        <w:div w:id="523135776">
          <w:marLeft w:val="0"/>
          <w:marRight w:val="0"/>
          <w:marTop w:val="0"/>
          <w:marBottom w:val="0"/>
          <w:divBdr>
            <w:top w:val="none" w:sz="0" w:space="0" w:color="auto"/>
            <w:left w:val="none" w:sz="0" w:space="0" w:color="auto"/>
            <w:bottom w:val="none" w:sz="0" w:space="0" w:color="auto"/>
            <w:right w:val="none" w:sz="0" w:space="0" w:color="auto"/>
          </w:divBdr>
          <w:divsChild>
            <w:div w:id="1109154970">
              <w:marLeft w:val="0"/>
              <w:marRight w:val="0"/>
              <w:marTop w:val="0"/>
              <w:marBottom w:val="0"/>
              <w:divBdr>
                <w:top w:val="none" w:sz="0" w:space="0" w:color="auto"/>
                <w:left w:val="none" w:sz="0" w:space="0" w:color="auto"/>
                <w:bottom w:val="none" w:sz="0" w:space="0" w:color="auto"/>
                <w:right w:val="none" w:sz="0" w:space="0" w:color="auto"/>
              </w:divBdr>
              <w:divsChild>
                <w:div w:id="231476874">
                  <w:marLeft w:val="0"/>
                  <w:marRight w:val="0"/>
                  <w:marTop w:val="0"/>
                  <w:marBottom w:val="0"/>
                  <w:divBdr>
                    <w:top w:val="none" w:sz="0" w:space="0" w:color="auto"/>
                    <w:left w:val="none" w:sz="0" w:space="0" w:color="auto"/>
                    <w:bottom w:val="none" w:sz="0" w:space="0" w:color="auto"/>
                    <w:right w:val="none" w:sz="0" w:space="0" w:color="auto"/>
                  </w:divBdr>
                  <w:divsChild>
                    <w:div w:id="639962437">
                      <w:marLeft w:val="0"/>
                      <w:marRight w:val="0"/>
                      <w:marTop w:val="0"/>
                      <w:marBottom w:val="0"/>
                      <w:divBdr>
                        <w:top w:val="none" w:sz="0" w:space="0" w:color="auto"/>
                        <w:left w:val="none" w:sz="0" w:space="0" w:color="auto"/>
                        <w:bottom w:val="none" w:sz="0" w:space="0" w:color="auto"/>
                        <w:right w:val="none" w:sz="0" w:space="0" w:color="auto"/>
                      </w:divBdr>
                      <w:divsChild>
                        <w:div w:id="22216735">
                          <w:marLeft w:val="0"/>
                          <w:marRight w:val="0"/>
                          <w:marTop w:val="0"/>
                          <w:marBottom w:val="0"/>
                          <w:divBdr>
                            <w:top w:val="none" w:sz="0" w:space="0" w:color="auto"/>
                            <w:left w:val="none" w:sz="0" w:space="0" w:color="auto"/>
                            <w:bottom w:val="none" w:sz="0" w:space="0" w:color="auto"/>
                            <w:right w:val="none" w:sz="0" w:space="0" w:color="auto"/>
                          </w:divBdr>
                          <w:divsChild>
                            <w:div w:id="779297060">
                              <w:marLeft w:val="0"/>
                              <w:marRight w:val="0"/>
                              <w:marTop w:val="0"/>
                              <w:marBottom w:val="0"/>
                              <w:divBdr>
                                <w:top w:val="none" w:sz="0" w:space="0" w:color="auto"/>
                                <w:left w:val="none" w:sz="0" w:space="0" w:color="auto"/>
                                <w:bottom w:val="none" w:sz="0" w:space="0" w:color="auto"/>
                                <w:right w:val="none" w:sz="0" w:space="0" w:color="auto"/>
                              </w:divBdr>
                              <w:divsChild>
                                <w:div w:id="18430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786344">
      <w:bodyDiv w:val="1"/>
      <w:marLeft w:val="0"/>
      <w:marRight w:val="0"/>
      <w:marTop w:val="0"/>
      <w:marBottom w:val="0"/>
      <w:divBdr>
        <w:top w:val="none" w:sz="0" w:space="0" w:color="auto"/>
        <w:left w:val="none" w:sz="0" w:space="0" w:color="auto"/>
        <w:bottom w:val="none" w:sz="0" w:space="0" w:color="auto"/>
        <w:right w:val="none" w:sz="0" w:space="0" w:color="auto"/>
      </w:divBdr>
      <w:divsChild>
        <w:div w:id="2043285520">
          <w:marLeft w:val="0"/>
          <w:marRight w:val="0"/>
          <w:marTop w:val="0"/>
          <w:marBottom w:val="0"/>
          <w:divBdr>
            <w:top w:val="none" w:sz="0" w:space="0" w:color="auto"/>
            <w:left w:val="none" w:sz="0" w:space="0" w:color="auto"/>
            <w:bottom w:val="none" w:sz="0" w:space="0" w:color="auto"/>
            <w:right w:val="none" w:sz="0" w:space="0" w:color="auto"/>
          </w:divBdr>
          <w:divsChild>
            <w:div w:id="140729540">
              <w:marLeft w:val="0"/>
              <w:marRight w:val="0"/>
              <w:marTop w:val="0"/>
              <w:marBottom w:val="0"/>
              <w:divBdr>
                <w:top w:val="none" w:sz="0" w:space="0" w:color="auto"/>
                <w:left w:val="none" w:sz="0" w:space="0" w:color="auto"/>
                <w:bottom w:val="none" w:sz="0" w:space="0" w:color="auto"/>
                <w:right w:val="none" w:sz="0" w:space="0" w:color="auto"/>
              </w:divBdr>
              <w:divsChild>
                <w:div w:id="1284648797">
                  <w:marLeft w:val="0"/>
                  <w:marRight w:val="0"/>
                  <w:marTop w:val="0"/>
                  <w:marBottom w:val="0"/>
                  <w:divBdr>
                    <w:top w:val="none" w:sz="0" w:space="0" w:color="auto"/>
                    <w:left w:val="none" w:sz="0" w:space="0" w:color="auto"/>
                    <w:bottom w:val="none" w:sz="0" w:space="0" w:color="auto"/>
                    <w:right w:val="none" w:sz="0" w:space="0" w:color="auto"/>
                  </w:divBdr>
                  <w:divsChild>
                    <w:div w:id="1149008406">
                      <w:marLeft w:val="0"/>
                      <w:marRight w:val="0"/>
                      <w:marTop w:val="0"/>
                      <w:marBottom w:val="0"/>
                      <w:divBdr>
                        <w:top w:val="none" w:sz="0" w:space="0" w:color="auto"/>
                        <w:left w:val="none" w:sz="0" w:space="0" w:color="auto"/>
                        <w:bottom w:val="none" w:sz="0" w:space="0" w:color="auto"/>
                        <w:right w:val="none" w:sz="0" w:space="0" w:color="auto"/>
                      </w:divBdr>
                      <w:divsChild>
                        <w:div w:id="1142237529">
                          <w:marLeft w:val="0"/>
                          <w:marRight w:val="0"/>
                          <w:marTop w:val="0"/>
                          <w:marBottom w:val="0"/>
                          <w:divBdr>
                            <w:top w:val="none" w:sz="0" w:space="0" w:color="auto"/>
                            <w:left w:val="none" w:sz="0" w:space="0" w:color="auto"/>
                            <w:bottom w:val="none" w:sz="0" w:space="0" w:color="auto"/>
                            <w:right w:val="none" w:sz="0" w:space="0" w:color="auto"/>
                          </w:divBdr>
                          <w:divsChild>
                            <w:div w:id="1412895837">
                              <w:marLeft w:val="0"/>
                              <w:marRight w:val="0"/>
                              <w:marTop w:val="0"/>
                              <w:marBottom w:val="0"/>
                              <w:divBdr>
                                <w:top w:val="none" w:sz="0" w:space="0" w:color="auto"/>
                                <w:left w:val="none" w:sz="0" w:space="0" w:color="auto"/>
                                <w:bottom w:val="none" w:sz="0" w:space="0" w:color="auto"/>
                                <w:right w:val="none" w:sz="0" w:space="0" w:color="auto"/>
                              </w:divBdr>
                              <w:divsChild>
                                <w:div w:id="17303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679522">
      <w:bodyDiv w:val="1"/>
      <w:marLeft w:val="0"/>
      <w:marRight w:val="0"/>
      <w:marTop w:val="0"/>
      <w:marBottom w:val="0"/>
      <w:divBdr>
        <w:top w:val="none" w:sz="0" w:space="0" w:color="auto"/>
        <w:left w:val="none" w:sz="0" w:space="0" w:color="auto"/>
        <w:bottom w:val="none" w:sz="0" w:space="0" w:color="auto"/>
        <w:right w:val="none" w:sz="0" w:space="0" w:color="auto"/>
      </w:divBdr>
      <w:divsChild>
        <w:div w:id="1594391839">
          <w:marLeft w:val="0"/>
          <w:marRight w:val="0"/>
          <w:marTop w:val="0"/>
          <w:marBottom w:val="0"/>
          <w:divBdr>
            <w:top w:val="none" w:sz="0" w:space="0" w:color="auto"/>
            <w:left w:val="none" w:sz="0" w:space="0" w:color="auto"/>
            <w:bottom w:val="none" w:sz="0" w:space="0" w:color="auto"/>
            <w:right w:val="none" w:sz="0" w:space="0" w:color="auto"/>
          </w:divBdr>
        </w:div>
      </w:divsChild>
    </w:div>
    <w:div w:id="1386835092">
      <w:bodyDiv w:val="1"/>
      <w:marLeft w:val="0"/>
      <w:marRight w:val="0"/>
      <w:marTop w:val="0"/>
      <w:marBottom w:val="0"/>
      <w:divBdr>
        <w:top w:val="none" w:sz="0" w:space="0" w:color="auto"/>
        <w:left w:val="none" w:sz="0" w:space="0" w:color="auto"/>
        <w:bottom w:val="none" w:sz="0" w:space="0" w:color="auto"/>
        <w:right w:val="none" w:sz="0" w:space="0" w:color="auto"/>
      </w:divBdr>
      <w:divsChild>
        <w:div w:id="115879871">
          <w:marLeft w:val="0"/>
          <w:marRight w:val="0"/>
          <w:marTop w:val="0"/>
          <w:marBottom w:val="0"/>
          <w:divBdr>
            <w:top w:val="none" w:sz="0" w:space="0" w:color="auto"/>
            <w:left w:val="none" w:sz="0" w:space="0" w:color="auto"/>
            <w:bottom w:val="none" w:sz="0" w:space="0" w:color="auto"/>
            <w:right w:val="none" w:sz="0" w:space="0" w:color="auto"/>
          </w:divBdr>
          <w:divsChild>
            <w:div w:id="136992888">
              <w:marLeft w:val="0"/>
              <w:marRight w:val="0"/>
              <w:marTop w:val="0"/>
              <w:marBottom w:val="0"/>
              <w:divBdr>
                <w:top w:val="none" w:sz="0" w:space="0" w:color="auto"/>
                <w:left w:val="none" w:sz="0" w:space="0" w:color="auto"/>
                <w:bottom w:val="none" w:sz="0" w:space="0" w:color="auto"/>
                <w:right w:val="none" w:sz="0" w:space="0" w:color="auto"/>
              </w:divBdr>
              <w:divsChild>
                <w:div w:id="476260468">
                  <w:marLeft w:val="0"/>
                  <w:marRight w:val="0"/>
                  <w:marTop w:val="0"/>
                  <w:marBottom w:val="0"/>
                  <w:divBdr>
                    <w:top w:val="none" w:sz="0" w:space="0" w:color="auto"/>
                    <w:left w:val="none" w:sz="0" w:space="0" w:color="auto"/>
                    <w:bottom w:val="none" w:sz="0" w:space="0" w:color="auto"/>
                    <w:right w:val="none" w:sz="0" w:space="0" w:color="auto"/>
                  </w:divBdr>
                  <w:divsChild>
                    <w:div w:id="52655670">
                      <w:marLeft w:val="0"/>
                      <w:marRight w:val="0"/>
                      <w:marTop w:val="0"/>
                      <w:marBottom w:val="0"/>
                      <w:divBdr>
                        <w:top w:val="none" w:sz="0" w:space="0" w:color="auto"/>
                        <w:left w:val="none" w:sz="0" w:space="0" w:color="auto"/>
                        <w:bottom w:val="none" w:sz="0" w:space="0" w:color="auto"/>
                        <w:right w:val="none" w:sz="0" w:space="0" w:color="auto"/>
                      </w:divBdr>
                      <w:divsChild>
                        <w:div w:id="1467309753">
                          <w:marLeft w:val="0"/>
                          <w:marRight w:val="0"/>
                          <w:marTop w:val="0"/>
                          <w:marBottom w:val="0"/>
                          <w:divBdr>
                            <w:top w:val="none" w:sz="0" w:space="0" w:color="auto"/>
                            <w:left w:val="none" w:sz="0" w:space="0" w:color="auto"/>
                            <w:bottom w:val="none" w:sz="0" w:space="0" w:color="auto"/>
                            <w:right w:val="none" w:sz="0" w:space="0" w:color="auto"/>
                          </w:divBdr>
                          <w:divsChild>
                            <w:div w:id="910387490">
                              <w:marLeft w:val="0"/>
                              <w:marRight w:val="0"/>
                              <w:marTop w:val="0"/>
                              <w:marBottom w:val="0"/>
                              <w:divBdr>
                                <w:top w:val="none" w:sz="0" w:space="0" w:color="auto"/>
                                <w:left w:val="none" w:sz="0" w:space="0" w:color="auto"/>
                                <w:bottom w:val="none" w:sz="0" w:space="0" w:color="auto"/>
                                <w:right w:val="none" w:sz="0" w:space="0" w:color="auto"/>
                              </w:divBdr>
                              <w:divsChild>
                                <w:div w:id="12128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65983">
      <w:bodyDiv w:val="1"/>
      <w:marLeft w:val="0"/>
      <w:marRight w:val="0"/>
      <w:marTop w:val="0"/>
      <w:marBottom w:val="0"/>
      <w:divBdr>
        <w:top w:val="none" w:sz="0" w:space="0" w:color="auto"/>
        <w:left w:val="none" w:sz="0" w:space="0" w:color="auto"/>
        <w:bottom w:val="none" w:sz="0" w:space="0" w:color="auto"/>
        <w:right w:val="none" w:sz="0" w:space="0" w:color="auto"/>
      </w:divBdr>
      <w:divsChild>
        <w:div w:id="1764108743">
          <w:marLeft w:val="0"/>
          <w:marRight w:val="0"/>
          <w:marTop w:val="0"/>
          <w:marBottom w:val="0"/>
          <w:divBdr>
            <w:top w:val="none" w:sz="0" w:space="0" w:color="auto"/>
            <w:left w:val="none" w:sz="0" w:space="0" w:color="auto"/>
            <w:bottom w:val="none" w:sz="0" w:space="0" w:color="auto"/>
            <w:right w:val="none" w:sz="0" w:space="0" w:color="auto"/>
          </w:divBdr>
        </w:div>
      </w:divsChild>
    </w:div>
    <w:div w:id="1525898209">
      <w:bodyDiv w:val="1"/>
      <w:marLeft w:val="0"/>
      <w:marRight w:val="0"/>
      <w:marTop w:val="0"/>
      <w:marBottom w:val="0"/>
      <w:divBdr>
        <w:top w:val="none" w:sz="0" w:space="0" w:color="auto"/>
        <w:left w:val="none" w:sz="0" w:space="0" w:color="auto"/>
        <w:bottom w:val="none" w:sz="0" w:space="0" w:color="auto"/>
        <w:right w:val="none" w:sz="0" w:space="0" w:color="auto"/>
      </w:divBdr>
      <w:divsChild>
        <w:div w:id="984554597">
          <w:marLeft w:val="0"/>
          <w:marRight w:val="0"/>
          <w:marTop w:val="0"/>
          <w:marBottom w:val="0"/>
          <w:divBdr>
            <w:top w:val="none" w:sz="0" w:space="0" w:color="auto"/>
            <w:left w:val="none" w:sz="0" w:space="0" w:color="auto"/>
            <w:bottom w:val="none" w:sz="0" w:space="0" w:color="auto"/>
            <w:right w:val="none" w:sz="0" w:space="0" w:color="auto"/>
          </w:divBdr>
          <w:divsChild>
            <w:div w:id="305624464">
              <w:marLeft w:val="0"/>
              <w:marRight w:val="0"/>
              <w:marTop w:val="0"/>
              <w:marBottom w:val="0"/>
              <w:divBdr>
                <w:top w:val="none" w:sz="0" w:space="0" w:color="auto"/>
                <w:left w:val="none" w:sz="0" w:space="0" w:color="auto"/>
                <w:bottom w:val="none" w:sz="0" w:space="0" w:color="auto"/>
                <w:right w:val="none" w:sz="0" w:space="0" w:color="auto"/>
              </w:divBdr>
              <w:divsChild>
                <w:div w:id="433522125">
                  <w:marLeft w:val="0"/>
                  <w:marRight w:val="0"/>
                  <w:marTop w:val="0"/>
                  <w:marBottom w:val="0"/>
                  <w:divBdr>
                    <w:top w:val="none" w:sz="0" w:space="0" w:color="auto"/>
                    <w:left w:val="none" w:sz="0" w:space="0" w:color="auto"/>
                    <w:bottom w:val="none" w:sz="0" w:space="0" w:color="auto"/>
                    <w:right w:val="none" w:sz="0" w:space="0" w:color="auto"/>
                  </w:divBdr>
                  <w:divsChild>
                    <w:div w:id="750273641">
                      <w:marLeft w:val="0"/>
                      <w:marRight w:val="0"/>
                      <w:marTop w:val="0"/>
                      <w:marBottom w:val="0"/>
                      <w:divBdr>
                        <w:top w:val="none" w:sz="0" w:space="0" w:color="auto"/>
                        <w:left w:val="none" w:sz="0" w:space="0" w:color="auto"/>
                        <w:bottom w:val="none" w:sz="0" w:space="0" w:color="auto"/>
                        <w:right w:val="none" w:sz="0" w:space="0" w:color="auto"/>
                      </w:divBdr>
                      <w:divsChild>
                        <w:div w:id="454952294">
                          <w:marLeft w:val="0"/>
                          <w:marRight w:val="0"/>
                          <w:marTop w:val="0"/>
                          <w:marBottom w:val="0"/>
                          <w:divBdr>
                            <w:top w:val="none" w:sz="0" w:space="0" w:color="auto"/>
                            <w:left w:val="none" w:sz="0" w:space="0" w:color="auto"/>
                            <w:bottom w:val="none" w:sz="0" w:space="0" w:color="auto"/>
                            <w:right w:val="none" w:sz="0" w:space="0" w:color="auto"/>
                          </w:divBdr>
                          <w:divsChild>
                            <w:div w:id="262105466">
                              <w:marLeft w:val="0"/>
                              <w:marRight w:val="0"/>
                              <w:marTop w:val="0"/>
                              <w:marBottom w:val="0"/>
                              <w:divBdr>
                                <w:top w:val="none" w:sz="0" w:space="0" w:color="auto"/>
                                <w:left w:val="none" w:sz="0" w:space="0" w:color="auto"/>
                                <w:bottom w:val="none" w:sz="0" w:space="0" w:color="auto"/>
                                <w:right w:val="none" w:sz="0" w:space="0" w:color="auto"/>
                              </w:divBdr>
                              <w:divsChild>
                                <w:div w:id="18938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6159">
      <w:bodyDiv w:val="1"/>
      <w:marLeft w:val="0"/>
      <w:marRight w:val="0"/>
      <w:marTop w:val="0"/>
      <w:marBottom w:val="0"/>
      <w:divBdr>
        <w:top w:val="none" w:sz="0" w:space="0" w:color="auto"/>
        <w:left w:val="none" w:sz="0" w:space="0" w:color="auto"/>
        <w:bottom w:val="none" w:sz="0" w:space="0" w:color="auto"/>
        <w:right w:val="none" w:sz="0" w:space="0" w:color="auto"/>
      </w:divBdr>
      <w:divsChild>
        <w:div w:id="123500595">
          <w:marLeft w:val="0"/>
          <w:marRight w:val="0"/>
          <w:marTop w:val="0"/>
          <w:marBottom w:val="0"/>
          <w:divBdr>
            <w:top w:val="none" w:sz="0" w:space="0" w:color="auto"/>
            <w:left w:val="none" w:sz="0" w:space="0" w:color="auto"/>
            <w:bottom w:val="none" w:sz="0" w:space="0" w:color="auto"/>
            <w:right w:val="none" w:sz="0" w:space="0" w:color="auto"/>
          </w:divBdr>
        </w:div>
      </w:divsChild>
    </w:div>
    <w:div w:id="1772700736">
      <w:bodyDiv w:val="1"/>
      <w:marLeft w:val="0"/>
      <w:marRight w:val="0"/>
      <w:marTop w:val="0"/>
      <w:marBottom w:val="0"/>
      <w:divBdr>
        <w:top w:val="none" w:sz="0" w:space="0" w:color="auto"/>
        <w:left w:val="none" w:sz="0" w:space="0" w:color="auto"/>
        <w:bottom w:val="none" w:sz="0" w:space="0" w:color="auto"/>
        <w:right w:val="none" w:sz="0" w:space="0" w:color="auto"/>
      </w:divBdr>
      <w:divsChild>
        <w:div w:id="555049490">
          <w:marLeft w:val="0"/>
          <w:marRight w:val="0"/>
          <w:marTop w:val="0"/>
          <w:marBottom w:val="0"/>
          <w:divBdr>
            <w:top w:val="none" w:sz="0" w:space="0" w:color="auto"/>
            <w:left w:val="none" w:sz="0" w:space="0" w:color="auto"/>
            <w:bottom w:val="none" w:sz="0" w:space="0" w:color="auto"/>
            <w:right w:val="none" w:sz="0" w:space="0" w:color="auto"/>
          </w:divBdr>
          <w:divsChild>
            <w:div w:id="30620674">
              <w:marLeft w:val="0"/>
              <w:marRight w:val="0"/>
              <w:marTop w:val="0"/>
              <w:marBottom w:val="0"/>
              <w:divBdr>
                <w:top w:val="none" w:sz="0" w:space="0" w:color="auto"/>
                <w:left w:val="none" w:sz="0" w:space="0" w:color="auto"/>
                <w:bottom w:val="none" w:sz="0" w:space="0" w:color="auto"/>
                <w:right w:val="none" w:sz="0" w:space="0" w:color="auto"/>
              </w:divBdr>
              <w:divsChild>
                <w:div w:id="287711938">
                  <w:marLeft w:val="0"/>
                  <w:marRight w:val="0"/>
                  <w:marTop w:val="0"/>
                  <w:marBottom w:val="0"/>
                  <w:divBdr>
                    <w:top w:val="none" w:sz="0" w:space="0" w:color="auto"/>
                    <w:left w:val="none" w:sz="0" w:space="0" w:color="auto"/>
                    <w:bottom w:val="none" w:sz="0" w:space="0" w:color="auto"/>
                    <w:right w:val="none" w:sz="0" w:space="0" w:color="auto"/>
                  </w:divBdr>
                  <w:divsChild>
                    <w:div w:id="556862976">
                      <w:marLeft w:val="0"/>
                      <w:marRight w:val="0"/>
                      <w:marTop w:val="0"/>
                      <w:marBottom w:val="0"/>
                      <w:divBdr>
                        <w:top w:val="none" w:sz="0" w:space="0" w:color="auto"/>
                        <w:left w:val="none" w:sz="0" w:space="0" w:color="auto"/>
                        <w:bottom w:val="none" w:sz="0" w:space="0" w:color="auto"/>
                        <w:right w:val="none" w:sz="0" w:space="0" w:color="auto"/>
                      </w:divBdr>
                      <w:divsChild>
                        <w:div w:id="1373727245">
                          <w:marLeft w:val="0"/>
                          <w:marRight w:val="0"/>
                          <w:marTop w:val="0"/>
                          <w:marBottom w:val="0"/>
                          <w:divBdr>
                            <w:top w:val="none" w:sz="0" w:space="0" w:color="auto"/>
                            <w:left w:val="none" w:sz="0" w:space="0" w:color="auto"/>
                            <w:bottom w:val="none" w:sz="0" w:space="0" w:color="auto"/>
                            <w:right w:val="none" w:sz="0" w:space="0" w:color="auto"/>
                          </w:divBdr>
                          <w:divsChild>
                            <w:div w:id="1678342995">
                              <w:marLeft w:val="0"/>
                              <w:marRight w:val="0"/>
                              <w:marTop w:val="0"/>
                              <w:marBottom w:val="0"/>
                              <w:divBdr>
                                <w:top w:val="none" w:sz="0" w:space="0" w:color="auto"/>
                                <w:left w:val="none" w:sz="0" w:space="0" w:color="auto"/>
                                <w:bottom w:val="none" w:sz="0" w:space="0" w:color="auto"/>
                                <w:right w:val="none" w:sz="0" w:space="0" w:color="auto"/>
                              </w:divBdr>
                              <w:divsChild>
                                <w:div w:id="9152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290348">
      <w:bodyDiv w:val="1"/>
      <w:marLeft w:val="0"/>
      <w:marRight w:val="0"/>
      <w:marTop w:val="0"/>
      <w:marBottom w:val="0"/>
      <w:divBdr>
        <w:top w:val="none" w:sz="0" w:space="0" w:color="auto"/>
        <w:left w:val="none" w:sz="0" w:space="0" w:color="auto"/>
        <w:bottom w:val="none" w:sz="0" w:space="0" w:color="auto"/>
        <w:right w:val="none" w:sz="0" w:space="0" w:color="auto"/>
      </w:divBdr>
      <w:divsChild>
        <w:div w:id="1102645295">
          <w:marLeft w:val="0"/>
          <w:marRight w:val="0"/>
          <w:marTop w:val="0"/>
          <w:marBottom w:val="0"/>
          <w:divBdr>
            <w:top w:val="none" w:sz="0" w:space="0" w:color="auto"/>
            <w:left w:val="none" w:sz="0" w:space="0" w:color="auto"/>
            <w:bottom w:val="none" w:sz="0" w:space="0" w:color="auto"/>
            <w:right w:val="none" w:sz="0" w:space="0" w:color="auto"/>
          </w:divBdr>
        </w:div>
      </w:divsChild>
    </w:div>
    <w:div w:id="1832139647">
      <w:bodyDiv w:val="1"/>
      <w:marLeft w:val="0"/>
      <w:marRight w:val="0"/>
      <w:marTop w:val="0"/>
      <w:marBottom w:val="0"/>
      <w:divBdr>
        <w:top w:val="none" w:sz="0" w:space="0" w:color="auto"/>
        <w:left w:val="none" w:sz="0" w:space="0" w:color="auto"/>
        <w:bottom w:val="none" w:sz="0" w:space="0" w:color="auto"/>
        <w:right w:val="none" w:sz="0" w:space="0" w:color="auto"/>
      </w:divBdr>
      <w:divsChild>
        <w:div w:id="847646247">
          <w:marLeft w:val="0"/>
          <w:marRight w:val="0"/>
          <w:marTop w:val="0"/>
          <w:marBottom w:val="0"/>
          <w:divBdr>
            <w:top w:val="none" w:sz="0" w:space="0" w:color="auto"/>
            <w:left w:val="none" w:sz="0" w:space="0" w:color="auto"/>
            <w:bottom w:val="none" w:sz="0" w:space="0" w:color="auto"/>
            <w:right w:val="none" w:sz="0" w:space="0" w:color="auto"/>
          </w:divBdr>
          <w:divsChild>
            <w:div w:id="24715908">
              <w:marLeft w:val="0"/>
              <w:marRight w:val="0"/>
              <w:marTop w:val="0"/>
              <w:marBottom w:val="0"/>
              <w:divBdr>
                <w:top w:val="none" w:sz="0" w:space="0" w:color="auto"/>
                <w:left w:val="none" w:sz="0" w:space="0" w:color="auto"/>
                <w:bottom w:val="none" w:sz="0" w:space="0" w:color="auto"/>
                <w:right w:val="none" w:sz="0" w:space="0" w:color="auto"/>
              </w:divBdr>
              <w:divsChild>
                <w:div w:id="433330074">
                  <w:marLeft w:val="0"/>
                  <w:marRight w:val="0"/>
                  <w:marTop w:val="0"/>
                  <w:marBottom w:val="0"/>
                  <w:divBdr>
                    <w:top w:val="none" w:sz="0" w:space="0" w:color="auto"/>
                    <w:left w:val="none" w:sz="0" w:space="0" w:color="auto"/>
                    <w:bottom w:val="none" w:sz="0" w:space="0" w:color="auto"/>
                    <w:right w:val="none" w:sz="0" w:space="0" w:color="auto"/>
                  </w:divBdr>
                  <w:divsChild>
                    <w:div w:id="31660715">
                      <w:marLeft w:val="0"/>
                      <w:marRight w:val="0"/>
                      <w:marTop w:val="0"/>
                      <w:marBottom w:val="0"/>
                      <w:divBdr>
                        <w:top w:val="none" w:sz="0" w:space="0" w:color="auto"/>
                        <w:left w:val="none" w:sz="0" w:space="0" w:color="auto"/>
                        <w:bottom w:val="none" w:sz="0" w:space="0" w:color="auto"/>
                        <w:right w:val="none" w:sz="0" w:space="0" w:color="auto"/>
                      </w:divBdr>
                      <w:divsChild>
                        <w:div w:id="697436771">
                          <w:marLeft w:val="0"/>
                          <w:marRight w:val="0"/>
                          <w:marTop w:val="0"/>
                          <w:marBottom w:val="0"/>
                          <w:divBdr>
                            <w:top w:val="none" w:sz="0" w:space="0" w:color="auto"/>
                            <w:left w:val="none" w:sz="0" w:space="0" w:color="auto"/>
                            <w:bottom w:val="none" w:sz="0" w:space="0" w:color="auto"/>
                            <w:right w:val="none" w:sz="0" w:space="0" w:color="auto"/>
                          </w:divBdr>
                          <w:divsChild>
                            <w:div w:id="2033920624">
                              <w:marLeft w:val="0"/>
                              <w:marRight w:val="0"/>
                              <w:marTop w:val="0"/>
                              <w:marBottom w:val="0"/>
                              <w:divBdr>
                                <w:top w:val="none" w:sz="0" w:space="0" w:color="auto"/>
                                <w:left w:val="none" w:sz="0" w:space="0" w:color="auto"/>
                                <w:bottom w:val="none" w:sz="0" w:space="0" w:color="auto"/>
                                <w:right w:val="none" w:sz="0" w:space="0" w:color="auto"/>
                              </w:divBdr>
                              <w:divsChild>
                                <w:div w:id="443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38721">
      <w:bodyDiv w:val="1"/>
      <w:marLeft w:val="0"/>
      <w:marRight w:val="0"/>
      <w:marTop w:val="0"/>
      <w:marBottom w:val="0"/>
      <w:divBdr>
        <w:top w:val="none" w:sz="0" w:space="0" w:color="auto"/>
        <w:left w:val="none" w:sz="0" w:space="0" w:color="auto"/>
        <w:bottom w:val="none" w:sz="0" w:space="0" w:color="auto"/>
        <w:right w:val="none" w:sz="0" w:space="0" w:color="auto"/>
      </w:divBdr>
      <w:divsChild>
        <w:div w:id="1936329271">
          <w:marLeft w:val="0"/>
          <w:marRight w:val="0"/>
          <w:marTop w:val="0"/>
          <w:marBottom w:val="0"/>
          <w:divBdr>
            <w:top w:val="none" w:sz="0" w:space="0" w:color="auto"/>
            <w:left w:val="none" w:sz="0" w:space="0" w:color="auto"/>
            <w:bottom w:val="none" w:sz="0" w:space="0" w:color="auto"/>
            <w:right w:val="none" w:sz="0" w:space="0" w:color="auto"/>
          </w:divBdr>
          <w:divsChild>
            <w:div w:id="323168879">
              <w:marLeft w:val="0"/>
              <w:marRight w:val="0"/>
              <w:marTop w:val="0"/>
              <w:marBottom w:val="0"/>
              <w:divBdr>
                <w:top w:val="single" w:sz="4" w:space="5" w:color="000000"/>
                <w:left w:val="single" w:sz="4" w:space="0" w:color="000000"/>
                <w:bottom w:val="single" w:sz="4" w:space="0" w:color="000000"/>
                <w:right w:val="single" w:sz="4" w:space="0" w:color="000000"/>
              </w:divBdr>
              <w:divsChild>
                <w:div w:id="635568389">
                  <w:marLeft w:val="0"/>
                  <w:marRight w:val="0"/>
                  <w:marTop w:val="0"/>
                  <w:marBottom w:val="0"/>
                  <w:divBdr>
                    <w:top w:val="none" w:sz="0" w:space="0" w:color="auto"/>
                    <w:left w:val="none" w:sz="0" w:space="0" w:color="auto"/>
                    <w:bottom w:val="none" w:sz="0" w:space="0" w:color="auto"/>
                    <w:right w:val="none" w:sz="0" w:space="0" w:color="auto"/>
                  </w:divBdr>
                  <w:divsChild>
                    <w:div w:id="203060350">
                      <w:marLeft w:val="0"/>
                      <w:marRight w:val="0"/>
                      <w:marTop w:val="0"/>
                      <w:marBottom w:val="0"/>
                      <w:divBdr>
                        <w:top w:val="single" w:sz="4" w:space="0" w:color="4E9258"/>
                        <w:left w:val="single" w:sz="4" w:space="2" w:color="4E9258"/>
                        <w:bottom w:val="single" w:sz="4" w:space="0" w:color="4E9258"/>
                        <w:right w:val="single" w:sz="4" w:space="0" w:color="4E9258"/>
                      </w:divBdr>
                    </w:div>
                  </w:divsChild>
                </w:div>
              </w:divsChild>
            </w:div>
          </w:divsChild>
        </w:div>
      </w:divsChild>
    </w:div>
    <w:div w:id="1873348102">
      <w:bodyDiv w:val="1"/>
      <w:marLeft w:val="0"/>
      <w:marRight w:val="0"/>
      <w:marTop w:val="0"/>
      <w:marBottom w:val="0"/>
      <w:divBdr>
        <w:top w:val="none" w:sz="0" w:space="0" w:color="auto"/>
        <w:left w:val="none" w:sz="0" w:space="0" w:color="auto"/>
        <w:bottom w:val="none" w:sz="0" w:space="0" w:color="auto"/>
        <w:right w:val="none" w:sz="0" w:space="0" w:color="auto"/>
      </w:divBdr>
      <w:divsChild>
        <w:div w:id="2095469076">
          <w:marLeft w:val="0"/>
          <w:marRight w:val="0"/>
          <w:marTop w:val="0"/>
          <w:marBottom w:val="0"/>
          <w:divBdr>
            <w:top w:val="none" w:sz="0" w:space="0" w:color="auto"/>
            <w:left w:val="none" w:sz="0" w:space="0" w:color="auto"/>
            <w:bottom w:val="none" w:sz="0" w:space="0" w:color="auto"/>
            <w:right w:val="none" w:sz="0" w:space="0" w:color="auto"/>
          </w:divBdr>
        </w:div>
      </w:divsChild>
    </w:div>
    <w:div w:id="2024428172">
      <w:bodyDiv w:val="1"/>
      <w:marLeft w:val="0"/>
      <w:marRight w:val="0"/>
      <w:marTop w:val="0"/>
      <w:marBottom w:val="0"/>
      <w:divBdr>
        <w:top w:val="none" w:sz="0" w:space="0" w:color="auto"/>
        <w:left w:val="none" w:sz="0" w:space="0" w:color="auto"/>
        <w:bottom w:val="none" w:sz="0" w:space="0" w:color="auto"/>
        <w:right w:val="none" w:sz="0" w:space="0" w:color="auto"/>
      </w:divBdr>
      <w:divsChild>
        <w:div w:id="209454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louardi@yahoo.fr" TargetMode="External"/><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chart" Target="charts/chart1.xm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84887459807075"/>
          <c:y val="9.2592592592592587E-2"/>
          <c:w val="0.63987138263665599"/>
          <c:h val="0.66666666666666663"/>
        </c:manualLayout>
      </c:layout>
      <c:scatterChart>
        <c:scatterStyle val="lineMarker"/>
        <c:varyColors val="0"/>
        <c:ser>
          <c:idx val="2"/>
          <c:order val="2"/>
          <c:tx>
            <c:strRef>
              <c:f>Feuil2!$D$2</c:f>
              <c:strCache>
                <c:ptCount val="1"/>
                <c:pt idx="0">
                  <c:v>CO2</c:v>
                </c:pt>
              </c:strCache>
            </c:strRef>
          </c:tx>
          <c:spPr>
            <a:ln w="28546">
              <a:noFill/>
            </a:ln>
          </c:spPr>
          <c:marker>
            <c:symbol val="triangle"/>
            <c:size val="5"/>
            <c:spPr>
              <a:solidFill>
                <a:srgbClr val="000000"/>
              </a:solidFill>
              <a:ln>
                <a:solidFill>
                  <a:srgbClr val="000000"/>
                </a:solidFill>
                <a:prstDash val="solid"/>
              </a:ln>
            </c:spPr>
          </c:marker>
          <c:xVal>
            <c:numRef>
              <c:f>Feuil2!$A$3:$A$23</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Feuil2!$D$3:$D$23</c:f>
              <c:numCache>
                <c:formatCode>General</c:formatCode>
                <c:ptCount val="21"/>
                <c:pt idx="0">
                  <c:v>0</c:v>
                </c:pt>
                <c:pt idx="1">
                  <c:v>0.36</c:v>
                </c:pt>
                <c:pt idx="2">
                  <c:v>0.4</c:v>
                </c:pt>
                <c:pt idx="3">
                  <c:v>0.42</c:v>
                </c:pt>
                <c:pt idx="4">
                  <c:v>0.43</c:v>
                </c:pt>
                <c:pt idx="5">
                  <c:v>0.45</c:v>
                </c:pt>
                <c:pt idx="6">
                  <c:v>0.4</c:v>
                </c:pt>
                <c:pt idx="7">
                  <c:v>0.4</c:v>
                </c:pt>
                <c:pt idx="8">
                  <c:v>0.34</c:v>
                </c:pt>
                <c:pt idx="9">
                  <c:v>0.28000000000000003</c:v>
                </c:pt>
                <c:pt idx="10">
                  <c:v>0.2</c:v>
                </c:pt>
                <c:pt idx="11">
                  <c:v>0.15</c:v>
                </c:pt>
                <c:pt idx="12">
                  <c:v>0.13</c:v>
                </c:pt>
                <c:pt idx="13">
                  <c:v>0.12</c:v>
                </c:pt>
                <c:pt idx="14">
                  <c:v>0.11</c:v>
                </c:pt>
                <c:pt idx="15">
                  <c:v>0.1</c:v>
                </c:pt>
                <c:pt idx="16">
                  <c:v>8.9999999999999858E-2</c:v>
                </c:pt>
                <c:pt idx="17">
                  <c:v>7.9999999999999627E-2</c:v>
                </c:pt>
                <c:pt idx="18">
                  <c:v>6.999999999999984E-2</c:v>
                </c:pt>
                <c:pt idx="19">
                  <c:v>6.0000000000000053E-2</c:v>
                </c:pt>
                <c:pt idx="20">
                  <c:v>4.9999999999999822E-2</c:v>
                </c:pt>
              </c:numCache>
            </c:numRef>
          </c:yVal>
          <c:smooth val="0"/>
        </c:ser>
        <c:ser>
          <c:idx val="3"/>
          <c:order val="3"/>
          <c:tx>
            <c:strRef>
              <c:f>Feuil2!$E$2</c:f>
              <c:strCache>
                <c:ptCount val="1"/>
                <c:pt idx="0">
                  <c:v>Corg</c:v>
                </c:pt>
              </c:strCache>
            </c:strRef>
          </c:tx>
          <c:spPr>
            <a:ln w="28546">
              <a:noFill/>
            </a:ln>
          </c:spPr>
          <c:marker>
            <c:symbol val="x"/>
            <c:size val="5"/>
            <c:spPr>
              <a:noFill/>
              <a:ln>
                <a:solidFill>
                  <a:srgbClr val="000000"/>
                </a:solidFill>
                <a:prstDash val="solid"/>
              </a:ln>
            </c:spPr>
          </c:marker>
          <c:xVal>
            <c:numRef>
              <c:f>Feuil2!$A$3:$A$23</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Feuil2!$E$3:$E$23</c:f>
              <c:numCache>
                <c:formatCode>General</c:formatCode>
                <c:ptCount val="21"/>
                <c:pt idx="0">
                  <c:v>0</c:v>
                </c:pt>
                <c:pt idx="1">
                  <c:v>0.1</c:v>
                </c:pt>
                <c:pt idx="2">
                  <c:v>0.11</c:v>
                </c:pt>
                <c:pt idx="3">
                  <c:v>0.13</c:v>
                </c:pt>
                <c:pt idx="4">
                  <c:v>0.15</c:v>
                </c:pt>
                <c:pt idx="5">
                  <c:v>0.16</c:v>
                </c:pt>
                <c:pt idx="6">
                  <c:v>0.16</c:v>
                </c:pt>
                <c:pt idx="7">
                  <c:v>0.13</c:v>
                </c:pt>
                <c:pt idx="8">
                  <c:v>0.09</c:v>
                </c:pt>
                <c:pt idx="9">
                  <c:v>0.08</c:v>
                </c:pt>
                <c:pt idx="10">
                  <c:v>4.9999999999999933E-2</c:v>
                </c:pt>
                <c:pt idx="11">
                  <c:v>2.9999999999999916E-2</c:v>
                </c:pt>
                <c:pt idx="12">
                  <c:v>0.03</c:v>
                </c:pt>
                <c:pt idx="13">
                  <c:v>0.03</c:v>
                </c:pt>
                <c:pt idx="14">
                  <c:v>0.03</c:v>
                </c:pt>
                <c:pt idx="15">
                  <c:v>2.9999999999999916E-2</c:v>
                </c:pt>
                <c:pt idx="16">
                  <c:v>2.9999999999999916E-2</c:v>
                </c:pt>
                <c:pt idx="17">
                  <c:v>0.02</c:v>
                </c:pt>
                <c:pt idx="18">
                  <c:v>0.02</c:v>
                </c:pt>
                <c:pt idx="19">
                  <c:v>0.02</c:v>
                </c:pt>
                <c:pt idx="20">
                  <c:v>0.02</c:v>
                </c:pt>
              </c:numCache>
            </c:numRef>
          </c:yVal>
          <c:smooth val="0"/>
        </c:ser>
        <c:dLbls>
          <c:showLegendKey val="0"/>
          <c:showVal val="0"/>
          <c:showCatName val="0"/>
          <c:showSerName val="0"/>
          <c:showPercent val="0"/>
          <c:showBubbleSize val="0"/>
        </c:dLbls>
        <c:axId val="238734720"/>
        <c:axId val="238737280"/>
      </c:scatterChart>
      <c:scatterChart>
        <c:scatterStyle val="lineMarker"/>
        <c:varyColors val="0"/>
        <c:ser>
          <c:idx val="0"/>
          <c:order val="0"/>
          <c:tx>
            <c:strRef>
              <c:f>Feuil2!$B$2</c:f>
              <c:strCache>
                <c:ptCount val="1"/>
                <c:pt idx="0">
                  <c:v>P2O5</c:v>
                </c:pt>
              </c:strCache>
            </c:strRef>
          </c:tx>
          <c:spPr>
            <a:ln w="28546">
              <a:noFill/>
            </a:ln>
          </c:spPr>
          <c:marker>
            <c:symbol val="circle"/>
            <c:size val="5"/>
            <c:spPr>
              <a:solidFill>
                <a:srgbClr val="000000"/>
              </a:solidFill>
              <a:ln>
                <a:solidFill>
                  <a:srgbClr val="000000"/>
                </a:solidFill>
                <a:prstDash val="solid"/>
              </a:ln>
            </c:spPr>
          </c:marker>
          <c:xVal>
            <c:numRef>
              <c:f>Feuil2!$A$3:$A$23</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Feuil2!$B$3:$B$23</c:f>
              <c:numCache>
                <c:formatCode>General</c:formatCode>
                <c:ptCount val="21"/>
                <c:pt idx="0">
                  <c:v>0</c:v>
                </c:pt>
                <c:pt idx="1">
                  <c:v>-0.21999999999999886</c:v>
                </c:pt>
                <c:pt idx="2">
                  <c:v>-0.25</c:v>
                </c:pt>
                <c:pt idx="3">
                  <c:v>-0.24000000000000199</c:v>
                </c:pt>
                <c:pt idx="4">
                  <c:v>-0.22999999999999687</c:v>
                </c:pt>
                <c:pt idx="5">
                  <c:v>-0.21000000000000085</c:v>
                </c:pt>
                <c:pt idx="6">
                  <c:v>-0.19999999999999574</c:v>
                </c:pt>
                <c:pt idx="7">
                  <c:v>-0.14000000000000057</c:v>
                </c:pt>
                <c:pt idx="8">
                  <c:v>-9.9999999999994316E-2</c:v>
                </c:pt>
                <c:pt idx="9">
                  <c:v>-8.9999999999996305E-2</c:v>
                </c:pt>
                <c:pt idx="10">
                  <c:v>-5.9999999999995168E-2</c:v>
                </c:pt>
                <c:pt idx="11">
                  <c:v>-7.9999999999998295E-2</c:v>
                </c:pt>
                <c:pt idx="12">
                  <c:v>-7.0000000000000284E-2</c:v>
                </c:pt>
                <c:pt idx="13">
                  <c:v>-7.0000000000000284E-2</c:v>
                </c:pt>
                <c:pt idx="14">
                  <c:v>-6.0000000000002274E-2</c:v>
                </c:pt>
                <c:pt idx="15">
                  <c:v>-5.0000000000004263E-2</c:v>
                </c:pt>
                <c:pt idx="16">
                  <c:v>-2.9999999999994031E-2</c:v>
                </c:pt>
                <c:pt idx="17">
                  <c:v>-2.0000000000003126E-2</c:v>
                </c:pt>
                <c:pt idx="18">
                  <c:v>-3.0000000000001137E-2</c:v>
                </c:pt>
                <c:pt idx="19">
                  <c:v>-2.0000000000003126E-2</c:v>
                </c:pt>
                <c:pt idx="20">
                  <c:v>-9.9999999999980105E-3</c:v>
                </c:pt>
              </c:numCache>
            </c:numRef>
          </c:yVal>
          <c:smooth val="0"/>
        </c:ser>
        <c:ser>
          <c:idx val="1"/>
          <c:order val="1"/>
          <c:tx>
            <c:strRef>
              <c:f>Feuil2!$C$2</c:f>
              <c:strCache>
                <c:ptCount val="1"/>
                <c:pt idx="0">
                  <c:v>CaO</c:v>
                </c:pt>
              </c:strCache>
            </c:strRef>
          </c:tx>
          <c:spPr>
            <a:ln w="28546">
              <a:noFill/>
            </a:ln>
          </c:spPr>
          <c:marker>
            <c:symbol val="square"/>
            <c:size val="5"/>
            <c:spPr>
              <a:solidFill>
                <a:srgbClr val="000000"/>
              </a:solidFill>
              <a:ln>
                <a:solidFill>
                  <a:srgbClr val="000000"/>
                </a:solidFill>
                <a:prstDash val="solid"/>
              </a:ln>
            </c:spPr>
          </c:marker>
          <c:xVal>
            <c:numRef>
              <c:f>Feuil2!$A$3:$A$23</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Feuil2!$C$3:$C$23</c:f>
              <c:numCache>
                <c:formatCode>General</c:formatCode>
                <c:ptCount val="21"/>
                <c:pt idx="0">
                  <c:v>0</c:v>
                </c:pt>
                <c:pt idx="1">
                  <c:v>-0.46000000000000085</c:v>
                </c:pt>
                <c:pt idx="2">
                  <c:v>-0.60999999999999943</c:v>
                </c:pt>
                <c:pt idx="3">
                  <c:v>-0.69000000000000483</c:v>
                </c:pt>
                <c:pt idx="4">
                  <c:v>-0.79999999999999716</c:v>
                </c:pt>
                <c:pt idx="5">
                  <c:v>-0.76000000000000512</c:v>
                </c:pt>
                <c:pt idx="6">
                  <c:v>-0.71000000000000085</c:v>
                </c:pt>
                <c:pt idx="7">
                  <c:v>-0.63000000000000256</c:v>
                </c:pt>
                <c:pt idx="8">
                  <c:v>-0.43</c:v>
                </c:pt>
                <c:pt idx="9">
                  <c:v>-0.31000000000000227</c:v>
                </c:pt>
                <c:pt idx="10">
                  <c:v>-0.21000000000000085</c:v>
                </c:pt>
                <c:pt idx="11">
                  <c:v>-0.18</c:v>
                </c:pt>
                <c:pt idx="12">
                  <c:v>-0.15999999999999659</c:v>
                </c:pt>
                <c:pt idx="13">
                  <c:v>-0.13000000000000256</c:v>
                </c:pt>
                <c:pt idx="14">
                  <c:v>-0.10000000000000142</c:v>
                </c:pt>
                <c:pt idx="15">
                  <c:v>-7.9999999999998295E-2</c:v>
                </c:pt>
                <c:pt idx="16">
                  <c:v>-7.0000000000000284E-2</c:v>
                </c:pt>
                <c:pt idx="17">
                  <c:v>-1.9999999999996021E-2</c:v>
                </c:pt>
                <c:pt idx="18">
                  <c:v>-1.0000000000005116E-2</c:v>
                </c:pt>
                <c:pt idx="19">
                  <c:v>-5.000000000002558E-3</c:v>
                </c:pt>
                <c:pt idx="20">
                  <c:v>-4.9999999999954525E-3</c:v>
                </c:pt>
              </c:numCache>
            </c:numRef>
          </c:yVal>
          <c:smooth val="0"/>
        </c:ser>
        <c:dLbls>
          <c:showLegendKey val="0"/>
          <c:showVal val="0"/>
          <c:showCatName val="0"/>
          <c:showSerName val="0"/>
          <c:showPercent val="0"/>
          <c:showBubbleSize val="0"/>
        </c:dLbls>
        <c:axId val="238739456"/>
        <c:axId val="238740992"/>
      </c:scatterChart>
      <c:valAx>
        <c:axId val="238734720"/>
        <c:scaling>
          <c:orientation val="minMax"/>
          <c:max val="100"/>
        </c:scaling>
        <c:delete val="0"/>
        <c:axPos val="b"/>
        <c:title>
          <c:tx>
            <c:rich>
              <a:bodyPr/>
              <a:lstStyle/>
              <a:p>
                <a:pPr>
                  <a:defRPr sz="799" b="1" i="0" u="none" strike="noStrike" baseline="0">
                    <a:solidFill>
                      <a:srgbClr val="000000"/>
                    </a:solidFill>
                    <a:latin typeface="Times New Roman"/>
                    <a:ea typeface="Times New Roman"/>
                    <a:cs typeface="Times New Roman"/>
                  </a:defRPr>
                </a:pPr>
                <a:r>
                  <a:t>  phosphate ajouté (%)</a:t>
                </a:r>
              </a:p>
            </c:rich>
          </c:tx>
          <c:layout>
            <c:manualLayout>
              <c:xMode val="edge"/>
              <c:yMode val="edge"/>
              <c:x val="0.29903536977491962"/>
              <c:y val="0.8657407407407407"/>
            </c:manualLayout>
          </c:layout>
          <c:overlay val="0"/>
          <c:spPr>
            <a:noFill/>
            <a:ln w="25374">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fr-FR"/>
          </a:p>
        </c:txPr>
        <c:crossAx val="238737280"/>
        <c:crosses val="autoZero"/>
        <c:crossBetween val="midCat"/>
        <c:majorUnit val="20"/>
      </c:valAx>
      <c:valAx>
        <c:axId val="238737280"/>
        <c:scaling>
          <c:orientation val="minMax"/>
          <c:max val="1.2"/>
        </c:scaling>
        <c:delete val="0"/>
        <c:axPos val="l"/>
        <c:title>
          <c:tx>
            <c:rich>
              <a:bodyPr/>
              <a:lstStyle/>
              <a:p>
                <a:pPr>
                  <a:defRPr sz="799" b="1" i="0" u="none" strike="noStrike" baseline="0">
                    <a:solidFill>
                      <a:srgbClr val="000000"/>
                    </a:solidFill>
                    <a:latin typeface="Times New Roman"/>
                    <a:ea typeface="Times New Roman"/>
                    <a:cs typeface="Times New Roman"/>
                  </a:defRPr>
                </a:pPr>
                <a:r>
                  <a:t>Ecart entre % (MF-MC)</a:t>
                </a:r>
              </a:p>
            </c:rich>
          </c:tx>
          <c:layout>
            <c:manualLayout>
              <c:xMode val="edge"/>
              <c:yMode val="edge"/>
              <c:x val="3.5369774919614148E-2"/>
              <c:y val="0.13425925925925927"/>
            </c:manualLayout>
          </c:layout>
          <c:overlay val="0"/>
          <c:spPr>
            <a:noFill/>
            <a:ln w="25374">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fr-FR"/>
          </a:p>
        </c:txPr>
        <c:crossAx val="238734720"/>
        <c:crosses val="autoZero"/>
        <c:crossBetween val="midCat"/>
        <c:majorUnit val="0.3"/>
      </c:valAx>
      <c:valAx>
        <c:axId val="238739456"/>
        <c:scaling>
          <c:orientation val="minMax"/>
        </c:scaling>
        <c:delete val="1"/>
        <c:axPos val="b"/>
        <c:numFmt formatCode="General" sourceLinked="1"/>
        <c:majorTickMark val="out"/>
        <c:minorTickMark val="none"/>
        <c:tickLblPos val="nextTo"/>
        <c:crossAx val="238740992"/>
        <c:crosses val="autoZero"/>
        <c:crossBetween val="midCat"/>
      </c:valAx>
      <c:valAx>
        <c:axId val="238740992"/>
        <c:scaling>
          <c:orientation val="minMax"/>
          <c:min val="-2"/>
        </c:scaling>
        <c:delete val="0"/>
        <c:axPos val="r"/>
        <c:title>
          <c:tx>
            <c:rich>
              <a:bodyPr/>
              <a:lstStyle/>
              <a:p>
                <a:pPr>
                  <a:defRPr sz="799" b="1" i="0" u="none" strike="noStrike" baseline="0">
                    <a:solidFill>
                      <a:srgbClr val="000000"/>
                    </a:solidFill>
                    <a:latin typeface="Times New Roman"/>
                    <a:ea typeface="Times New Roman"/>
                    <a:cs typeface="Times New Roman"/>
                  </a:defRPr>
                </a:pPr>
                <a:r>
                  <a:t>Ecart entre % (MF-MC)</a:t>
                </a:r>
              </a:p>
            </c:rich>
          </c:tx>
          <c:layout>
            <c:manualLayout>
              <c:xMode val="edge"/>
              <c:yMode val="edge"/>
              <c:x val="0.90675241157556274"/>
              <c:y val="0.13425925925925927"/>
            </c:manualLayout>
          </c:layout>
          <c:overlay val="0"/>
          <c:spPr>
            <a:noFill/>
            <a:ln w="25374">
              <a:noFill/>
            </a:ln>
          </c:spPr>
        </c:title>
        <c:numFmt formatCode="General" sourceLinked="1"/>
        <c:majorTickMark val="cross"/>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fr-FR"/>
          </a:p>
        </c:txPr>
        <c:crossAx val="238739456"/>
        <c:crosses val="max"/>
        <c:crossBetween val="midCat"/>
        <c:majorUnit val="0.5"/>
      </c:valAx>
      <c:spPr>
        <a:noFill/>
        <a:ln w="25374">
          <a:solidFill>
            <a:srgbClr val="000000"/>
          </a:solidFill>
          <a:prstDash val="solid"/>
        </a:ln>
      </c:spPr>
    </c:plotArea>
    <c:plotVisOnly val="1"/>
    <c:dispBlanksAs val="gap"/>
    <c:showDLblsOverMax val="0"/>
  </c:chart>
  <c:spPr>
    <a:noFill/>
    <a:ln>
      <a:noFill/>
    </a:ln>
  </c:spPr>
  <c:txPr>
    <a:bodyPr/>
    <a:lstStyle/>
    <a:p>
      <a:pPr>
        <a:defRPr sz="799" b="1" i="0" u="none" strike="noStrike" baseline="0">
          <a:solidFill>
            <a:srgbClr val="000000"/>
          </a:solidFill>
          <a:latin typeface="Times New Roman"/>
          <a:ea typeface="Times New Roman"/>
          <a:cs typeface="Times New Roman"/>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0.17575</cdr:x>
      <cdr:y>0.508</cdr:y>
    </cdr:from>
    <cdr:to>
      <cdr:x>0.80575</cdr:x>
      <cdr:y>0.75475</cdr:y>
    </cdr:to>
    <cdr:sp macro="" textlink="">
      <cdr:nvSpPr>
        <cdr:cNvPr id="1028" name="Freeform 4"/>
        <cdr:cNvSpPr>
          <a:spLocks xmlns:a="http://schemas.openxmlformats.org/drawingml/2006/main"/>
        </cdr:cNvSpPr>
      </cdr:nvSpPr>
      <cdr:spPr bwMode="auto">
        <a:xfrm xmlns:a="http://schemas.openxmlformats.org/drawingml/2006/main">
          <a:off x="520620" y="1045159"/>
          <a:ext cx="1866233" cy="507664"/>
        </a:xfrm>
        <a:custGeom xmlns:a="http://schemas.openxmlformats.org/drawingml/2006/main">
          <a:avLst/>
          <a:gdLst>
            <a:gd name="T0" fmla="*/ 0 w 3311201"/>
            <a:gd name="T1" fmla="*/ 1071121 h 1071121"/>
            <a:gd name="T2" fmla="*/ 49569 w 3311201"/>
            <a:gd name="T3" fmla="*/ 587168 h 1071121"/>
            <a:gd name="T4" fmla="*/ 178448 w 3311201"/>
            <a:gd name="T5" fmla="*/ 211857 h 1071121"/>
            <a:gd name="T6" fmla="*/ 505603 w 3311201"/>
            <a:gd name="T7" fmla="*/ 34079 h 1071121"/>
            <a:gd name="T8" fmla="*/ 991378 w 3311201"/>
            <a:gd name="T9" fmla="*/ 63708 h 1071121"/>
            <a:gd name="T10" fmla="*/ 1457325 w 3311201"/>
            <a:gd name="T11" fmla="*/ 416329 h 1071121"/>
            <a:gd name="T12" fmla="*/ 1625860 w 3311201"/>
            <a:gd name="T13" fmla="*/ 545478 h 1071121"/>
            <a:gd name="T14" fmla="*/ 1655601 w 3311201"/>
            <a:gd name="T15" fmla="*/ 585150 h 1071121"/>
            <a:gd name="T16" fmla="*/ 1804308 w 3311201"/>
            <a:gd name="T17" fmla="*/ 684327 h 1071121"/>
            <a:gd name="T18" fmla="*/ 1923273 w 3311201"/>
            <a:gd name="T19" fmla="*/ 714081 h 1071121"/>
            <a:gd name="T20" fmla="*/ 3311201 w 3311201"/>
            <a:gd name="T21" fmla="*/ 972355 h 1071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11201" h="1071121">
              <a:moveTo>
                <a:pt x="0" y="1071121"/>
              </a:moveTo>
              <a:cubicBezTo>
                <a:pt x="9914" y="900749"/>
                <a:pt x="19828" y="730379"/>
                <a:pt x="49569" y="587168"/>
              </a:cubicBezTo>
              <a:cubicBezTo>
                <a:pt x="79310" y="443958"/>
                <a:pt x="102442" y="304039"/>
                <a:pt x="178448" y="211857"/>
              </a:cubicBezTo>
              <a:cubicBezTo>
                <a:pt x="254454" y="119676"/>
                <a:pt x="370115" y="58772"/>
                <a:pt x="505603" y="34079"/>
              </a:cubicBezTo>
              <a:cubicBezTo>
                <a:pt x="641091" y="9387"/>
                <a:pt x="832758" y="0"/>
                <a:pt x="991378" y="63708"/>
              </a:cubicBezTo>
              <a:cubicBezTo>
                <a:pt x="1149998" y="127416"/>
                <a:pt x="1351578" y="336034"/>
                <a:pt x="1457325" y="416329"/>
              </a:cubicBezTo>
              <a:cubicBezTo>
                <a:pt x="1563072" y="496624"/>
                <a:pt x="1592814" y="517341"/>
                <a:pt x="1625860" y="545478"/>
              </a:cubicBezTo>
              <a:cubicBezTo>
                <a:pt x="1658906" y="573615"/>
                <a:pt x="1625860" y="562009"/>
                <a:pt x="1655601" y="585150"/>
              </a:cubicBezTo>
              <a:cubicBezTo>
                <a:pt x="1685342" y="608291"/>
                <a:pt x="1759696" y="662839"/>
                <a:pt x="1804308" y="684327"/>
              </a:cubicBezTo>
              <a:cubicBezTo>
                <a:pt x="1848920" y="705815"/>
                <a:pt x="1672124" y="666076"/>
                <a:pt x="1923273" y="714081"/>
              </a:cubicBezTo>
              <a:cubicBezTo>
                <a:pt x="2174422" y="762086"/>
                <a:pt x="3022049" y="918548"/>
                <a:pt x="3311201" y="972355"/>
              </a:cubicBezTo>
            </a:path>
          </a:pathLst>
        </a:custGeom>
        <a:noFill xmlns:a="http://schemas.openxmlformats.org/drawingml/2006/main"/>
        <a:ln xmlns:a="http://schemas.openxmlformats.org/drawingml/2006/main" w="3175" cap="flat" cmpd="sng">
          <a:solidFill>
            <a:srgbClr xmlns:mc="http://schemas.openxmlformats.org/markup-compatibility/2006" xmlns:a14="http://schemas.microsoft.com/office/drawing/2010/main" val="0000FF" mc:Ignorable="a14" a14:legacySpreadsheetColorIndex="12"/>
          </a:solidFill>
          <a:prstDash val="solid"/>
          <a:round/>
          <a:headEnd type="none" w="med" len="med"/>
          <a:tailEnd type="none" w="med" len="me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Lst>
      </cdr:spPr>
    </cdr:sp>
  </cdr:relSizeAnchor>
  <cdr:relSizeAnchor xmlns:cdr="http://schemas.openxmlformats.org/drawingml/2006/chartDrawing">
    <cdr:from>
      <cdr:x>0.17575</cdr:x>
      <cdr:y>0.6555</cdr:y>
    </cdr:from>
    <cdr:to>
      <cdr:x>0.80575</cdr:x>
      <cdr:y>0.75475</cdr:y>
    </cdr:to>
    <cdr:sp macro="" textlink="">
      <cdr:nvSpPr>
        <cdr:cNvPr id="1029" name="Freeform 5"/>
        <cdr:cNvSpPr>
          <a:spLocks xmlns:a="http://schemas.openxmlformats.org/drawingml/2006/main"/>
        </cdr:cNvSpPr>
      </cdr:nvSpPr>
      <cdr:spPr bwMode="auto">
        <a:xfrm xmlns:a="http://schemas.openxmlformats.org/drawingml/2006/main">
          <a:off x="520620" y="1348626"/>
          <a:ext cx="1866233" cy="204197"/>
        </a:xfrm>
        <a:custGeom xmlns:a="http://schemas.openxmlformats.org/drawingml/2006/main">
          <a:avLst/>
          <a:gdLst>
            <a:gd name="T0" fmla="*/ 0 w 3311201"/>
            <a:gd name="T1" fmla="*/ 431423 h 431423"/>
            <a:gd name="T2" fmla="*/ 128879 w 3311201"/>
            <a:gd name="T3" fmla="*/ 262821 h 431423"/>
            <a:gd name="T4" fmla="*/ 446120 w 3311201"/>
            <a:gd name="T5" fmla="*/ 94218 h 431423"/>
            <a:gd name="T6" fmla="*/ 981464 w 3311201"/>
            <a:gd name="T7" fmla="*/ 34712 h 431423"/>
            <a:gd name="T8" fmla="*/ 1596118 w 3311201"/>
            <a:gd name="T9" fmla="*/ 302492 h 431423"/>
            <a:gd name="T10" fmla="*/ 3311201 w 3311201"/>
            <a:gd name="T11" fmla="*/ 381834 h 431423"/>
          </a:gdLst>
          <a:ahLst/>
          <a:cxnLst>
            <a:cxn ang="0">
              <a:pos x="T0" y="T1"/>
            </a:cxn>
            <a:cxn ang="0">
              <a:pos x="T2" y="T3"/>
            </a:cxn>
            <a:cxn ang="0">
              <a:pos x="T4" y="T5"/>
            </a:cxn>
            <a:cxn ang="0">
              <a:pos x="T6" y="T7"/>
            </a:cxn>
            <a:cxn ang="0">
              <a:pos x="T8" y="T9"/>
            </a:cxn>
            <a:cxn ang="0">
              <a:pos x="T10" y="T11"/>
            </a:cxn>
          </a:cxnLst>
          <a:rect l="0" t="0" r="r" b="b"/>
          <a:pathLst>
            <a:path w="3311201" h="431423">
              <a:moveTo>
                <a:pt x="0" y="431423"/>
              </a:moveTo>
              <a:cubicBezTo>
                <a:pt x="27263" y="375222"/>
                <a:pt x="54526" y="319022"/>
                <a:pt x="128879" y="262821"/>
              </a:cubicBezTo>
              <a:cubicBezTo>
                <a:pt x="203232" y="206620"/>
                <a:pt x="304023" y="132236"/>
                <a:pt x="446120" y="94218"/>
              </a:cubicBezTo>
              <a:cubicBezTo>
                <a:pt x="588217" y="56200"/>
                <a:pt x="789798" y="0"/>
                <a:pt x="981464" y="34712"/>
              </a:cubicBezTo>
              <a:cubicBezTo>
                <a:pt x="1173130" y="69424"/>
                <a:pt x="1207829" y="244638"/>
                <a:pt x="1596118" y="302492"/>
              </a:cubicBezTo>
              <a:cubicBezTo>
                <a:pt x="1984407" y="360346"/>
                <a:pt x="2647804" y="371090"/>
                <a:pt x="3311201" y="381834"/>
              </a:cubicBezTo>
            </a:path>
          </a:pathLst>
        </a:custGeom>
        <a:noFill xmlns:a="http://schemas.openxmlformats.org/drawingml/2006/main"/>
        <a:ln xmlns:a="http://schemas.openxmlformats.org/drawingml/2006/main" w="3175" cap="flat" cmpd="sng">
          <a:solidFill>
            <a:srgbClr xmlns:mc="http://schemas.openxmlformats.org/markup-compatibility/2006" xmlns:a14="http://schemas.microsoft.com/office/drawing/2010/main" val="FF0000" mc:Ignorable="a14" a14:legacySpreadsheetColorIndex="10"/>
          </a:solidFill>
          <a:prstDash val="solid"/>
          <a:round/>
          <a:headEnd type="none" w="med" len="med"/>
          <a:tailEnd type="none" w="med" len="me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Lst>
      </cdr:spPr>
    </cdr:sp>
  </cdr:relSizeAnchor>
  <cdr:relSizeAnchor xmlns:cdr="http://schemas.openxmlformats.org/drawingml/2006/chartDrawing">
    <cdr:from>
      <cdr:x>0.17575</cdr:x>
      <cdr:y>0.088</cdr:y>
    </cdr:from>
    <cdr:to>
      <cdr:x>0.80575</cdr:x>
      <cdr:y>0.35525</cdr:y>
    </cdr:to>
    <cdr:sp macro="" textlink="">
      <cdr:nvSpPr>
        <cdr:cNvPr id="1030" name="Freeform 6"/>
        <cdr:cNvSpPr>
          <a:spLocks xmlns:a="http://schemas.openxmlformats.org/drawingml/2006/main"/>
        </cdr:cNvSpPr>
      </cdr:nvSpPr>
      <cdr:spPr bwMode="auto">
        <a:xfrm xmlns:a="http://schemas.openxmlformats.org/drawingml/2006/main">
          <a:off x="520620" y="181051"/>
          <a:ext cx="1866233" cy="549840"/>
        </a:xfrm>
        <a:custGeom xmlns:a="http://schemas.openxmlformats.org/drawingml/2006/main">
          <a:avLst/>
          <a:gdLst>
            <a:gd name="T0" fmla="*/ 0 w 3311201"/>
            <a:gd name="T1" fmla="*/ 0 h 1160381"/>
            <a:gd name="T2" fmla="*/ 138793 w 3311201"/>
            <a:gd name="T3" fmla="*/ 578714 h 1160381"/>
            <a:gd name="T4" fmla="*/ 525430 w 3311201"/>
            <a:gd name="T5" fmla="*/ 1069149 h 1160381"/>
            <a:gd name="T6" fmla="*/ 902154 w 3311201"/>
            <a:gd name="T7" fmla="*/ 1126108 h 1160381"/>
            <a:gd name="T8" fmla="*/ 1100429 w 3311201"/>
            <a:gd name="T9" fmla="*/ 932272 h 1160381"/>
            <a:gd name="T10" fmla="*/ 1615946 w 3311201"/>
            <a:gd name="T11" fmla="*/ 333497 h 1160381"/>
            <a:gd name="T12" fmla="*/ 3311201 w 3311201"/>
            <a:gd name="T13" fmla="*/ 0 h 1160381"/>
          </a:gdLst>
          <a:ahLst/>
          <a:cxnLst>
            <a:cxn ang="0">
              <a:pos x="T0" y="T1"/>
            </a:cxn>
            <a:cxn ang="0">
              <a:pos x="T2" y="T3"/>
            </a:cxn>
            <a:cxn ang="0">
              <a:pos x="T4" y="T5"/>
            </a:cxn>
            <a:cxn ang="0">
              <a:pos x="T6" y="T7"/>
            </a:cxn>
            <a:cxn ang="0">
              <a:pos x="T8" y="T9"/>
            </a:cxn>
            <a:cxn ang="0">
              <a:pos x="T10" y="T11"/>
            </a:cxn>
            <a:cxn ang="0">
              <a:pos x="T12" y="T13"/>
            </a:cxn>
          </a:cxnLst>
          <a:rect l="0" t="0" r="r" b="b"/>
          <a:pathLst>
            <a:path w="3311201" h="1160381">
              <a:moveTo>
                <a:pt x="0" y="0"/>
              </a:moveTo>
              <a:cubicBezTo>
                <a:pt x="25610" y="200260"/>
                <a:pt x="51221" y="400522"/>
                <a:pt x="138793" y="578714"/>
              </a:cubicBezTo>
              <a:cubicBezTo>
                <a:pt x="226365" y="756906"/>
                <a:pt x="398203" y="977917"/>
                <a:pt x="525430" y="1069149"/>
              </a:cubicBezTo>
              <a:cubicBezTo>
                <a:pt x="652657" y="1160381"/>
                <a:pt x="806321" y="1148921"/>
                <a:pt x="902154" y="1126108"/>
              </a:cubicBezTo>
              <a:cubicBezTo>
                <a:pt x="997987" y="1103295"/>
                <a:pt x="981464" y="1064374"/>
                <a:pt x="1100429" y="932272"/>
              </a:cubicBezTo>
              <a:cubicBezTo>
                <a:pt x="1219394" y="800170"/>
                <a:pt x="1247484" y="488876"/>
                <a:pt x="1615946" y="333497"/>
              </a:cubicBezTo>
              <a:cubicBezTo>
                <a:pt x="1984408" y="178118"/>
                <a:pt x="2658544" y="82558"/>
                <a:pt x="3311201" y="0"/>
              </a:cubicBezTo>
            </a:path>
          </a:pathLst>
        </a:custGeom>
        <a:noFill xmlns:a="http://schemas.openxmlformats.org/drawingml/2006/main"/>
        <a:ln xmlns:a="http://schemas.openxmlformats.org/drawingml/2006/main" w="3175" cap="flat" cmpd="sng">
          <a:solidFill>
            <a:srgbClr xmlns:mc="http://schemas.openxmlformats.org/markup-compatibility/2006" xmlns:a14="http://schemas.microsoft.com/office/drawing/2010/main" val="008000" mc:Ignorable="a14" a14:legacySpreadsheetColorIndex="17"/>
          </a:solidFill>
          <a:prstDash val="solid"/>
          <a:round/>
          <a:headEnd type="none" w="med" len="med"/>
          <a:tailEnd type="none" w="med" len="me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Lst>
      </cdr:spPr>
    </cdr:sp>
  </cdr:relSizeAnchor>
  <cdr:relSizeAnchor xmlns:cdr="http://schemas.openxmlformats.org/drawingml/2006/chartDrawing">
    <cdr:from>
      <cdr:x>0.17575</cdr:x>
      <cdr:y>0.088</cdr:y>
    </cdr:from>
    <cdr:to>
      <cdr:x>0.80575</cdr:x>
      <cdr:y>0.17725</cdr:y>
    </cdr:to>
    <cdr:sp macro="" textlink="">
      <cdr:nvSpPr>
        <cdr:cNvPr id="1031" name="Freeform 7"/>
        <cdr:cNvSpPr>
          <a:spLocks xmlns:a="http://schemas.openxmlformats.org/drawingml/2006/main"/>
        </cdr:cNvSpPr>
      </cdr:nvSpPr>
      <cdr:spPr bwMode="auto">
        <a:xfrm xmlns:a="http://schemas.openxmlformats.org/drawingml/2006/main">
          <a:off x="520620" y="181051"/>
          <a:ext cx="1866233" cy="183623"/>
        </a:xfrm>
        <a:custGeom xmlns:a="http://schemas.openxmlformats.org/drawingml/2006/main">
          <a:avLst/>
          <a:gdLst>
            <a:gd name="T0" fmla="*/ 0 w 3311201"/>
            <a:gd name="T1" fmla="*/ 0 h 386794"/>
            <a:gd name="T2" fmla="*/ 118966 w 3311201"/>
            <a:gd name="T3" fmla="*/ 287616 h 386794"/>
            <a:gd name="T4" fmla="*/ 574999 w 3311201"/>
            <a:gd name="T5" fmla="*/ 386794 h 386794"/>
            <a:gd name="T6" fmla="*/ 1011205 w 3311201"/>
            <a:gd name="T7" fmla="*/ 287616 h 386794"/>
            <a:gd name="T8" fmla="*/ 1487067 w 3311201"/>
            <a:gd name="T9" fmla="*/ 99178 h 386794"/>
            <a:gd name="T10" fmla="*/ 3311201 w 3311201"/>
            <a:gd name="T11" fmla="*/ 0 h 386794"/>
          </a:gdLst>
          <a:ahLst/>
          <a:cxnLst>
            <a:cxn ang="0">
              <a:pos x="T0" y="T1"/>
            </a:cxn>
            <a:cxn ang="0">
              <a:pos x="T2" y="T3"/>
            </a:cxn>
            <a:cxn ang="0">
              <a:pos x="T4" y="T5"/>
            </a:cxn>
            <a:cxn ang="0">
              <a:pos x="T6" y="T7"/>
            </a:cxn>
            <a:cxn ang="0">
              <a:pos x="T8" y="T9"/>
            </a:cxn>
            <a:cxn ang="0">
              <a:pos x="T10" y="T11"/>
            </a:cxn>
          </a:cxnLst>
          <a:rect l="0" t="0" r="r" b="b"/>
          <a:pathLst>
            <a:path w="3311201" h="386794">
              <a:moveTo>
                <a:pt x="0" y="0"/>
              </a:moveTo>
              <a:cubicBezTo>
                <a:pt x="25611" y="114054"/>
                <a:pt x="23133" y="223150"/>
                <a:pt x="118966" y="287616"/>
              </a:cubicBezTo>
              <a:cubicBezTo>
                <a:pt x="214799" y="352082"/>
                <a:pt x="426293" y="386794"/>
                <a:pt x="574999" y="386794"/>
              </a:cubicBezTo>
              <a:cubicBezTo>
                <a:pt x="723705" y="386794"/>
                <a:pt x="859194" y="335552"/>
                <a:pt x="1011205" y="287616"/>
              </a:cubicBezTo>
              <a:cubicBezTo>
                <a:pt x="1163216" y="239680"/>
                <a:pt x="1103734" y="147114"/>
                <a:pt x="1487067" y="99178"/>
              </a:cubicBezTo>
              <a:cubicBezTo>
                <a:pt x="1870400" y="51242"/>
                <a:pt x="2590800" y="25621"/>
                <a:pt x="3311201" y="0"/>
              </a:cubicBezTo>
            </a:path>
          </a:pathLst>
        </a:custGeom>
        <a:noFill xmlns:a="http://schemas.openxmlformats.org/drawingml/2006/main"/>
        <a:ln xmlns:a="http://schemas.openxmlformats.org/drawingml/2006/main" w="3175" cap="flat" cmpd="sng">
          <a:solidFill>
            <a:srgbClr xmlns:mc="http://schemas.openxmlformats.org/markup-compatibility/2006" xmlns:a14="http://schemas.microsoft.com/office/drawing/2010/main" val="808000" mc:Ignorable="a14" a14:legacySpreadsheetColorIndex="19"/>
          </a:solidFill>
          <a:prstDash val="solid"/>
          <a:round/>
          <a:headEnd type="none" w="med" len="med"/>
          <a:tailEnd type="none" w="med" len="me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Lst>
      </cdr:spPr>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5844</Words>
  <Characters>32143</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THERMIC TREATMENT OF PHOSPHATED</vt:lpstr>
    </vt:vector>
  </TitlesOfParts>
  <Company>perso</Company>
  <LinksUpToDate>false</LinksUpToDate>
  <CharactersWithSpaces>37912</CharactersWithSpaces>
  <SharedDoc>false</SharedDoc>
  <HLinks>
    <vt:vector size="6" baseType="variant">
      <vt:variant>
        <vt:i4>8323152</vt:i4>
      </vt:variant>
      <vt:variant>
        <vt:i4>0</vt:i4>
      </vt:variant>
      <vt:variant>
        <vt:i4>0</vt:i4>
      </vt:variant>
      <vt:variant>
        <vt:i4>5</vt:i4>
      </vt:variant>
      <vt:variant>
        <vt:lpwstr>mailto:elouardi@yahoo.fr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THERMIC TREATMENT OF PHOSPHATED</dc:title>
  <dc:creator>user</dc:creator>
  <cp:lastModifiedBy>user</cp:lastModifiedBy>
  <cp:revision>2</cp:revision>
  <cp:lastPrinted>2007-03-14T07:50:00Z</cp:lastPrinted>
  <dcterms:created xsi:type="dcterms:W3CDTF">2019-06-21T22:50:00Z</dcterms:created>
  <dcterms:modified xsi:type="dcterms:W3CDTF">2019-06-21T22:50:00Z</dcterms:modified>
</cp:coreProperties>
</file>